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CD" w:rsidRPr="00F831E1" w:rsidRDefault="005278CD" w:rsidP="00527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153670" cy="245745"/>
            <wp:effectExtent l="0" t="0" r="0" b="0"/>
            <wp:docPr id="1" name="Image 1" descr="C:\Users\Administrateur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Administrateur\Desktop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67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8CD" w:rsidRPr="00F831E1" w:rsidRDefault="005278CD" w:rsidP="005278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278CD" w:rsidRPr="00056C43" w:rsidRDefault="005278CD" w:rsidP="005278CD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056C43">
        <w:rPr>
          <w:rFonts w:ascii="Book Antiqua" w:hAnsi="Book Antiqua" w:cs="Times New Roman"/>
          <w:b/>
          <w:bCs/>
          <w:sz w:val="20"/>
          <w:szCs w:val="20"/>
        </w:rPr>
        <w:t>SOMELEC</w:t>
      </w:r>
    </w:p>
    <w:p w:rsidR="005278CD" w:rsidRPr="00056C43" w:rsidRDefault="005278CD" w:rsidP="005278CD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056C43">
        <w:rPr>
          <w:rFonts w:ascii="Book Antiqua" w:hAnsi="Book Antiqua" w:cs="Times New Roman"/>
          <w:b/>
          <w:bCs/>
          <w:sz w:val="20"/>
          <w:szCs w:val="20"/>
        </w:rPr>
        <w:t>CELLULE CHARGEE DES MARCHES</w:t>
      </w:r>
    </w:p>
    <w:p w:rsidR="005278CD" w:rsidRPr="00056C43" w:rsidRDefault="005278CD" w:rsidP="005278CD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056C43">
        <w:rPr>
          <w:rFonts w:ascii="Book Antiqua" w:hAnsi="Book Antiqua" w:cs="Times New Roman"/>
          <w:b/>
          <w:bCs/>
          <w:sz w:val="20"/>
          <w:szCs w:val="20"/>
        </w:rPr>
        <w:t>C.C.M</w:t>
      </w:r>
    </w:p>
    <w:p w:rsidR="005278CD" w:rsidRPr="00056C43" w:rsidRDefault="005278CD" w:rsidP="005278CD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056C43">
        <w:rPr>
          <w:rFonts w:ascii="Book Antiqua" w:hAnsi="Book Antiqua" w:cs="Times New Roman"/>
          <w:b/>
          <w:bCs/>
          <w:sz w:val="20"/>
          <w:szCs w:val="20"/>
        </w:rPr>
        <w:t>COMMISSION DES MARCHES D’INVESTISSEMENT</w:t>
      </w:r>
    </w:p>
    <w:p w:rsidR="005278CD" w:rsidRPr="00056C43" w:rsidRDefault="005278CD" w:rsidP="005278CD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056C43">
        <w:rPr>
          <w:rFonts w:ascii="Book Antiqua" w:hAnsi="Book Antiqua" w:cs="Times New Roman"/>
          <w:b/>
          <w:bCs/>
          <w:sz w:val="20"/>
          <w:szCs w:val="20"/>
        </w:rPr>
        <w:t>C.M.I</w:t>
      </w:r>
    </w:p>
    <w:p w:rsidR="005278CD" w:rsidRPr="00056C43" w:rsidRDefault="005278CD" w:rsidP="00527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:rsidR="005278CD" w:rsidRPr="00056C43" w:rsidRDefault="000C0FBC" w:rsidP="00527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 xml:space="preserve">Précoces-verbal N° </w:t>
      </w:r>
      <w:r w:rsidR="007402D5">
        <w:rPr>
          <w:rFonts w:ascii="Book Antiqua" w:hAnsi="Book Antiqua" w:cs="Times New Roman"/>
          <w:b/>
          <w:sz w:val="20"/>
          <w:szCs w:val="20"/>
        </w:rPr>
        <w:t>2</w:t>
      </w:r>
      <w:r w:rsidR="002F76E5">
        <w:rPr>
          <w:rFonts w:ascii="Book Antiqua" w:hAnsi="Book Antiqua" w:cs="Times New Roman"/>
          <w:b/>
          <w:sz w:val="20"/>
          <w:szCs w:val="20"/>
        </w:rPr>
        <w:t>3</w:t>
      </w:r>
      <w:r>
        <w:rPr>
          <w:rFonts w:ascii="Book Antiqua" w:hAnsi="Book Antiqua" w:cs="Times New Roman"/>
          <w:b/>
          <w:sz w:val="20"/>
          <w:szCs w:val="20"/>
        </w:rPr>
        <w:t>/CMI/202</w:t>
      </w:r>
      <w:r w:rsidR="0015439A">
        <w:rPr>
          <w:rFonts w:ascii="Book Antiqua" w:hAnsi="Book Antiqua" w:cs="Times New Roman"/>
          <w:b/>
          <w:sz w:val="20"/>
          <w:szCs w:val="20"/>
        </w:rPr>
        <w:t>4</w:t>
      </w:r>
      <w:r>
        <w:rPr>
          <w:rFonts w:ascii="Book Antiqua" w:hAnsi="Book Antiqua" w:cs="Times New Roman"/>
          <w:b/>
          <w:sz w:val="20"/>
          <w:szCs w:val="20"/>
        </w:rPr>
        <w:t xml:space="preserve"> du </w:t>
      </w:r>
      <w:r w:rsidR="002F76E5">
        <w:rPr>
          <w:rFonts w:ascii="Book Antiqua" w:hAnsi="Book Antiqua" w:cs="Times New Roman"/>
          <w:b/>
          <w:sz w:val="20"/>
          <w:szCs w:val="20"/>
        </w:rPr>
        <w:t>10</w:t>
      </w:r>
      <w:r w:rsidR="005278CD" w:rsidRPr="00056C43">
        <w:rPr>
          <w:rFonts w:ascii="Book Antiqua" w:hAnsi="Book Antiqua" w:cs="Times New Roman"/>
          <w:b/>
          <w:sz w:val="20"/>
          <w:szCs w:val="20"/>
        </w:rPr>
        <w:t>/</w:t>
      </w:r>
      <w:r w:rsidR="0015439A">
        <w:rPr>
          <w:rFonts w:ascii="Book Antiqua" w:hAnsi="Book Antiqua" w:cs="Times New Roman"/>
          <w:b/>
          <w:sz w:val="20"/>
          <w:szCs w:val="20"/>
        </w:rPr>
        <w:t>0</w:t>
      </w:r>
      <w:r w:rsidR="00C91219">
        <w:rPr>
          <w:rFonts w:ascii="Book Antiqua" w:hAnsi="Book Antiqua" w:cs="Times New Roman"/>
          <w:b/>
          <w:sz w:val="20"/>
          <w:szCs w:val="20"/>
        </w:rPr>
        <w:t>6</w:t>
      </w:r>
      <w:r w:rsidR="005278CD" w:rsidRPr="00056C43">
        <w:rPr>
          <w:rFonts w:ascii="Book Antiqua" w:hAnsi="Book Antiqua" w:cs="Times New Roman"/>
          <w:b/>
          <w:sz w:val="20"/>
          <w:szCs w:val="20"/>
        </w:rPr>
        <w:t>/202</w:t>
      </w:r>
      <w:r w:rsidR="0015439A">
        <w:rPr>
          <w:rFonts w:ascii="Book Antiqua" w:hAnsi="Book Antiqua" w:cs="Times New Roman"/>
          <w:b/>
          <w:sz w:val="20"/>
          <w:szCs w:val="20"/>
        </w:rPr>
        <w:t>4</w:t>
      </w:r>
    </w:p>
    <w:p w:rsidR="005278CD" w:rsidRPr="00056C43" w:rsidRDefault="005278CD" w:rsidP="00527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056C43">
        <w:rPr>
          <w:rFonts w:ascii="Book Antiqua" w:hAnsi="Book Antiqua" w:cs="Times New Roman"/>
          <w:b/>
          <w:sz w:val="20"/>
          <w:szCs w:val="20"/>
        </w:rPr>
        <w:t>………………….</w:t>
      </w:r>
    </w:p>
    <w:p w:rsidR="005278CD" w:rsidRPr="00056C43" w:rsidRDefault="005278CD" w:rsidP="00527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5278CD" w:rsidRPr="00C57D40" w:rsidRDefault="005278CD" w:rsidP="005278CD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C57D40">
        <w:rPr>
          <w:rFonts w:ascii="Book Antiqua" w:hAnsi="Book Antiqua" w:cs="Times New Roman"/>
          <w:sz w:val="24"/>
          <w:szCs w:val="24"/>
        </w:rPr>
        <w:t>L’a</w:t>
      </w:r>
      <w:r w:rsidR="000C0FBC" w:rsidRPr="00C57D40">
        <w:rPr>
          <w:rFonts w:ascii="Book Antiqua" w:hAnsi="Book Antiqua" w:cs="Times New Roman"/>
          <w:sz w:val="24"/>
          <w:szCs w:val="24"/>
        </w:rPr>
        <w:t xml:space="preserve">n deux mille </w:t>
      </w:r>
      <w:r w:rsidR="00331E60" w:rsidRPr="00C57D40">
        <w:rPr>
          <w:rFonts w:ascii="Book Antiqua" w:hAnsi="Book Antiqua" w:cs="Times New Roman"/>
          <w:sz w:val="24"/>
          <w:szCs w:val="24"/>
        </w:rPr>
        <w:t>vingt-quatre</w:t>
      </w:r>
      <w:r w:rsidR="000C0FBC" w:rsidRPr="00C57D40">
        <w:rPr>
          <w:rFonts w:ascii="Book Antiqua" w:hAnsi="Book Antiqua" w:cs="Times New Roman"/>
          <w:sz w:val="24"/>
          <w:szCs w:val="24"/>
        </w:rPr>
        <w:t xml:space="preserve"> et le </w:t>
      </w:r>
      <w:r w:rsidR="002F76E5">
        <w:rPr>
          <w:rFonts w:ascii="Book Antiqua" w:hAnsi="Book Antiqua" w:cs="Times New Roman"/>
          <w:sz w:val="24"/>
          <w:szCs w:val="24"/>
        </w:rPr>
        <w:t>10</w:t>
      </w:r>
      <w:r w:rsidR="007402D5">
        <w:rPr>
          <w:rFonts w:ascii="Book Antiqua" w:hAnsi="Book Antiqua" w:cs="Times New Roman"/>
          <w:sz w:val="24"/>
          <w:szCs w:val="24"/>
        </w:rPr>
        <w:t xml:space="preserve"> Mai</w:t>
      </w:r>
      <w:r w:rsidRPr="00C57D40">
        <w:rPr>
          <w:rFonts w:ascii="Book Antiqua" w:hAnsi="Book Antiqua" w:cs="Times New Roman"/>
          <w:sz w:val="24"/>
          <w:szCs w:val="24"/>
        </w:rPr>
        <w:t xml:space="preserve"> à </w:t>
      </w:r>
      <w:r w:rsidRPr="00C57D40">
        <w:rPr>
          <w:rFonts w:ascii="Book Antiqua" w:hAnsi="Book Antiqua" w:cs="Times New Roman"/>
          <w:b/>
          <w:sz w:val="24"/>
          <w:szCs w:val="24"/>
        </w:rPr>
        <w:t>12 heures TU</w:t>
      </w:r>
      <w:r w:rsidRPr="00C57D40">
        <w:rPr>
          <w:rFonts w:ascii="Book Antiqua" w:hAnsi="Book Antiqua" w:cs="Times New Roman"/>
          <w:sz w:val="24"/>
          <w:szCs w:val="24"/>
        </w:rPr>
        <w:t>, la Commission des Marchés d’Investissement de la SOMELEC s’est réunie sous la présidence de son Président</w:t>
      </w:r>
      <w:r w:rsidRPr="00C57D40">
        <w:rPr>
          <w:rFonts w:ascii="Book Antiqua" w:hAnsi="Book Antiqua" w:cs="Times New Roman"/>
          <w:b/>
          <w:bCs/>
          <w:sz w:val="24"/>
          <w:szCs w:val="24"/>
        </w:rPr>
        <w:t>,</w:t>
      </w:r>
      <w:r w:rsidRPr="00C57D40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Monsieur </w:t>
      </w:r>
      <w:r w:rsidR="0015439A" w:rsidRPr="00C57D40">
        <w:rPr>
          <w:rFonts w:ascii="Book Antiqua" w:hAnsi="Book Antiqua" w:cs="Times New Roman"/>
          <w:b/>
          <w:bCs/>
          <w:sz w:val="24"/>
          <w:szCs w:val="24"/>
        </w:rPr>
        <w:t>TALL Ousmane</w:t>
      </w:r>
      <w:r w:rsidRPr="00C57D40">
        <w:rPr>
          <w:rFonts w:ascii="Book Antiqua" w:hAnsi="Book Antiqua" w:cs="Times New Roman"/>
          <w:b/>
          <w:bCs/>
          <w:sz w:val="24"/>
          <w:szCs w:val="24"/>
        </w:rPr>
        <w:t>,</w:t>
      </w:r>
      <w:r w:rsidRPr="00C57D40">
        <w:rPr>
          <w:rFonts w:ascii="Book Antiqua" w:hAnsi="Book Antiqua" w:cs="Times New Roman"/>
          <w:sz w:val="24"/>
          <w:szCs w:val="24"/>
        </w:rPr>
        <w:t xml:space="preserve"> </w:t>
      </w:r>
      <w:r w:rsidRPr="00C57D40">
        <w:rPr>
          <w:rFonts w:ascii="Book Antiqua" w:hAnsi="Book Antiqua" w:cs="Times New Roman"/>
          <w:b/>
          <w:bCs/>
          <w:sz w:val="24"/>
          <w:szCs w:val="24"/>
        </w:rPr>
        <w:t>Directeur Général</w:t>
      </w:r>
      <w:r w:rsidRPr="00C57D40">
        <w:rPr>
          <w:rFonts w:ascii="Book Antiqua" w:hAnsi="Book Antiqua" w:cs="Times New Roman"/>
          <w:sz w:val="24"/>
          <w:szCs w:val="24"/>
        </w:rPr>
        <w:t>, afin de délibérer sur l’ordre du jour suivant :</w:t>
      </w:r>
    </w:p>
    <w:p w:rsidR="005278CD" w:rsidRPr="00C57D40" w:rsidRDefault="005278CD" w:rsidP="005278CD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C57D40">
        <w:rPr>
          <w:rFonts w:ascii="Book Antiqua" w:hAnsi="Book Antiqua" w:cs="Times New Roman"/>
          <w:b/>
          <w:bCs/>
          <w:sz w:val="20"/>
          <w:szCs w:val="20"/>
          <w:u w:val="single"/>
        </w:rPr>
        <w:t>Ordre du jour</w:t>
      </w:r>
    </w:p>
    <w:p w:rsidR="00F53186" w:rsidRDefault="00F53186" w:rsidP="009156C0">
      <w:pPr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tbl>
      <w:tblPr>
        <w:tblW w:w="105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9760"/>
      </w:tblGrid>
      <w:tr w:rsidR="00773D84" w:rsidRPr="00773D84" w:rsidTr="00E36833">
        <w:trPr>
          <w:trHeight w:val="803"/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D84" w:rsidRPr="00773D84" w:rsidRDefault="00773D84" w:rsidP="00773D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fr-FR"/>
              </w:rPr>
            </w:pPr>
            <w:r w:rsidRPr="00773D84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fr-FR"/>
              </w:rPr>
              <w:t>I</w:t>
            </w:r>
          </w:p>
        </w:tc>
        <w:tc>
          <w:tcPr>
            <w:tcW w:w="9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4F" w:rsidRPr="008B1F4F" w:rsidRDefault="008B1F4F" w:rsidP="008B1F4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fr-FR"/>
              </w:rPr>
            </w:pPr>
            <w:r w:rsidRPr="008B1F4F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fr-FR"/>
              </w:rPr>
              <w:t>Examen du rapport d’évaluation des offres reçues dans le cadre du DAO relatif aux travaux d’extension et de densification du réseau électrique de la ville de Nouadhibou.</w:t>
            </w:r>
          </w:p>
          <w:p w:rsidR="00773D84" w:rsidRPr="00773D84" w:rsidRDefault="008B1F4F" w:rsidP="008B1F4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B1F4F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  <w:lang w:eastAsia="fr-FR"/>
              </w:rPr>
              <w:t>(DAO N°06/CMI/2024)</w:t>
            </w:r>
          </w:p>
        </w:tc>
      </w:tr>
    </w:tbl>
    <w:p w:rsidR="00C91219" w:rsidRDefault="00C91219" w:rsidP="009156C0">
      <w:pPr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:rsidR="00C91219" w:rsidRDefault="00C91219" w:rsidP="009156C0">
      <w:pPr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:rsidR="00C91219" w:rsidRDefault="00C91219" w:rsidP="009156C0">
      <w:pPr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:rsidR="000C0FBC" w:rsidRPr="00A65C9B" w:rsidRDefault="000C0FBC" w:rsidP="000C0FBC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A65C9B">
        <w:rPr>
          <w:rFonts w:ascii="Book Antiqua" w:hAnsi="Book Antiqua" w:cs="Times New Roman"/>
          <w:sz w:val="24"/>
          <w:szCs w:val="24"/>
        </w:rPr>
        <w:t>------------------------------- o -------------------------------</w:t>
      </w:r>
    </w:p>
    <w:p w:rsidR="00BA5C05" w:rsidRPr="001A13CE" w:rsidRDefault="000C0FBC" w:rsidP="001A13CE">
      <w:pPr>
        <w:shd w:val="clear" w:color="auto" w:fill="D9D9D9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A65C9B">
        <w:rPr>
          <w:rFonts w:ascii="Book Antiqua" w:hAnsi="Book Antiqua" w:cs="Times New Roman"/>
          <w:b/>
          <w:sz w:val="24"/>
          <w:szCs w:val="24"/>
          <w:u w:val="single"/>
        </w:rPr>
        <w:t>Décisions</w:t>
      </w:r>
    </w:p>
    <w:tbl>
      <w:tblPr>
        <w:tblpPr w:leftFromText="180" w:rightFromText="180" w:vertAnchor="text" w:horzAnchor="margin" w:tblpY="184"/>
        <w:tblW w:w="10244" w:type="dxa"/>
        <w:tblLook w:val="04A0" w:firstRow="1" w:lastRow="0" w:firstColumn="1" w:lastColumn="0" w:noHBand="0" w:noVBand="1"/>
      </w:tblPr>
      <w:tblGrid>
        <w:gridCol w:w="577"/>
        <w:gridCol w:w="9667"/>
      </w:tblGrid>
      <w:tr w:rsidR="000C0FBC" w:rsidRPr="00A65C9B" w:rsidTr="00673A70">
        <w:trPr>
          <w:trHeight w:val="26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BC" w:rsidRPr="0084474E" w:rsidRDefault="000C0FBC" w:rsidP="000C0FB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0C0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6E5" w:rsidRPr="002F76E5" w:rsidRDefault="002F76E5" w:rsidP="002F76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fr-FR"/>
              </w:rPr>
            </w:pPr>
            <w:r w:rsidRPr="002F76E5"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fr-FR"/>
              </w:rPr>
              <w:t>Examen du rapport d’évaluation relatif à l’appel d’offres portant sur les travaux d’extension et de densification du réseau électrique de la ville de Nouadhibou.</w:t>
            </w:r>
          </w:p>
          <w:p w:rsidR="000C0FBC" w:rsidRDefault="002F76E5" w:rsidP="002F76E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F76E5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  <w:lang w:eastAsia="fr-FR"/>
              </w:rPr>
              <w:t>(DAO N°06/CMI/2024)</w:t>
            </w:r>
          </w:p>
        </w:tc>
      </w:tr>
    </w:tbl>
    <w:p w:rsidR="00023A97" w:rsidRDefault="00023A97" w:rsidP="000C0FBC">
      <w:pPr>
        <w:jc w:val="both"/>
        <w:rPr>
          <w:rFonts w:ascii="Book Antiqua" w:hAnsi="Book Antiqua" w:cs="Times New Roman"/>
          <w:sz w:val="24"/>
          <w:szCs w:val="24"/>
        </w:rPr>
      </w:pPr>
    </w:p>
    <w:p w:rsidR="002F76E5" w:rsidRPr="00A65C9B" w:rsidRDefault="002F76E5" w:rsidP="002F76E5">
      <w:pPr>
        <w:jc w:val="both"/>
        <w:rPr>
          <w:rFonts w:ascii="Book Antiqua" w:hAnsi="Book Antiqua" w:cs="Times New Roman"/>
          <w:sz w:val="24"/>
          <w:szCs w:val="24"/>
          <w:u w:val="single"/>
        </w:rPr>
      </w:pPr>
      <w:r w:rsidRPr="00A65C9B">
        <w:rPr>
          <w:rFonts w:ascii="Book Antiqua" w:hAnsi="Book Antiqua" w:cs="Times New Roman"/>
          <w:sz w:val="24"/>
          <w:szCs w:val="24"/>
        </w:rPr>
        <w:t xml:space="preserve">Après délibérations, </w:t>
      </w:r>
      <w:r w:rsidRPr="00A65C9B">
        <w:rPr>
          <w:rFonts w:ascii="Book Antiqua" w:hAnsi="Book Antiqua" w:cs="Times New Roman"/>
          <w:b/>
          <w:bCs/>
          <w:sz w:val="24"/>
          <w:szCs w:val="24"/>
          <w:u w:val="single"/>
        </w:rPr>
        <w:t>la commission a pris la décision suivante</w:t>
      </w:r>
      <w:r w:rsidRPr="00A65C9B">
        <w:rPr>
          <w:rFonts w:ascii="Book Antiqua" w:hAnsi="Book Antiqua" w:cs="Times New Roman"/>
          <w:sz w:val="24"/>
          <w:szCs w:val="24"/>
          <w:u w:val="single"/>
        </w:rPr>
        <w:t> :</w:t>
      </w:r>
    </w:p>
    <w:p w:rsidR="002F76E5" w:rsidRDefault="002F76E5" w:rsidP="002F76E5">
      <w:pPr>
        <w:spacing w:after="0"/>
        <w:rPr>
          <w:rFonts w:ascii="Book Antiqua" w:hAnsi="Book Antiqua"/>
          <w:bCs/>
          <w:sz w:val="20"/>
          <w:szCs w:val="20"/>
        </w:rPr>
      </w:pPr>
    </w:p>
    <w:p w:rsidR="002F76E5" w:rsidRPr="002F76E5" w:rsidRDefault="002F76E5" w:rsidP="008B1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9" w:color="auto"/>
        </w:pBdr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</w:pPr>
      <w:r w:rsidRPr="00673A70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 xml:space="preserve">« </w:t>
      </w:r>
      <w:r w:rsidRPr="002F76E5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>Suite à l’examen du rapport d’évaluation, la commission approuve le rapport de la sous-commission d’évaluation et prend la décision suivante :</w:t>
      </w:r>
    </w:p>
    <w:p w:rsidR="002F76E5" w:rsidRPr="00673A70" w:rsidRDefault="002F76E5" w:rsidP="008B1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9" w:color="auto"/>
        </w:pBdr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</w:pPr>
      <w:r w:rsidRPr="002F76E5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>- Attribue provisoirement</w:t>
      </w:r>
      <w:r w:rsidR="000520D1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 xml:space="preserve"> le marché</w:t>
      </w:r>
      <w:r w:rsidRPr="002F76E5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 xml:space="preserve"> à</w:t>
      </w:r>
      <w:r w:rsidRPr="002F76E5">
        <w:rPr>
          <w:rFonts w:ascii="Book Antiqua" w:eastAsia="Times New Roman" w:hAnsi="Book Antiqua" w:cs="Times New Roman"/>
          <w:color w:val="FF0000"/>
          <w:sz w:val="28"/>
          <w:szCs w:val="28"/>
          <w:lang w:eastAsia="fr-FR"/>
        </w:rPr>
        <w:t xml:space="preserve"> </w:t>
      </w:r>
      <w:r w:rsidRPr="00783F2E">
        <w:rPr>
          <w:rFonts w:ascii="Book Antiqua" w:hAnsi="Book Antiqua" w:cs="Times New Roman"/>
          <w:b/>
          <w:bCs/>
          <w:color w:val="000000"/>
          <w:sz w:val="28"/>
          <w:szCs w:val="28"/>
        </w:rPr>
        <w:t>GENI</w:t>
      </w:r>
      <w:r w:rsidR="000520D1">
        <w:rPr>
          <w:rFonts w:ascii="Book Antiqua" w:hAnsi="Book Antiqua" w:cs="Times New Roman"/>
          <w:b/>
          <w:bCs/>
          <w:color w:val="000000"/>
          <w:sz w:val="28"/>
          <w:szCs w:val="28"/>
        </w:rPr>
        <w:t>E</w:t>
      </w:r>
      <w:r w:rsidRPr="00783F2E">
        <w:rPr>
          <w:rFonts w:ascii="Book Antiqua" w:hAnsi="Book Antiqua" w:cs="Times New Roman"/>
          <w:b/>
          <w:bCs/>
          <w:color w:val="000000"/>
          <w:sz w:val="28"/>
          <w:szCs w:val="28"/>
        </w:rPr>
        <w:t>SERVICES</w:t>
      </w:r>
      <w:r w:rsidRPr="00783F2E">
        <w:rPr>
          <w:rFonts w:ascii="Book Antiqua" w:eastAsia="Times New Roman" w:hAnsi="Book Antiqua" w:cs="Times New Roman"/>
          <w:color w:val="FF0000"/>
          <w:sz w:val="28"/>
          <w:szCs w:val="28"/>
          <w:lang w:eastAsia="fr-FR"/>
        </w:rPr>
        <w:t xml:space="preserve"> </w:t>
      </w:r>
      <w:r w:rsidRPr="00783F2E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>pour un montant de trente-quatre million</w:t>
      </w:r>
      <w:r w:rsidR="000520D1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>s</w:t>
      </w:r>
      <w:bookmarkStart w:id="0" w:name="_GoBack"/>
      <w:bookmarkEnd w:id="0"/>
      <w:r w:rsidRPr="00783F2E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 xml:space="preserve"> sept cent vingt un mille cent quatre-vingt-quinze Ouguiya (</w:t>
      </w:r>
      <w:r w:rsidRPr="00783F2E">
        <w:rPr>
          <w:rFonts w:ascii="Book Antiqua" w:hAnsi="Book Antiqua" w:cs="Times New Roman"/>
          <w:b/>
          <w:bCs/>
          <w:color w:val="000000"/>
          <w:sz w:val="28"/>
          <w:szCs w:val="28"/>
        </w:rPr>
        <w:t>34 721 195</w:t>
      </w:r>
      <w:r w:rsidRPr="00783F2E">
        <w:rPr>
          <w:rFonts w:ascii="Book Antiqua" w:hAnsi="Book Antiqua" w:cs="Times New Roman"/>
          <w:sz w:val="28"/>
          <w:szCs w:val="28"/>
        </w:rPr>
        <w:t xml:space="preserve"> </w:t>
      </w:r>
      <w:r w:rsidRPr="00783F2E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>MRU)</w:t>
      </w:r>
      <w:r w:rsidRPr="002F76E5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 xml:space="preserve"> pour un délai d’exécution de </w:t>
      </w:r>
      <w:r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 xml:space="preserve">90 Jours </w:t>
      </w:r>
      <w:r w:rsidRPr="00673A70"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  <w:t>»</w:t>
      </w:r>
    </w:p>
    <w:p w:rsidR="002F76E5" w:rsidRDefault="002F76E5" w:rsidP="000C0FBC">
      <w:pPr>
        <w:jc w:val="both"/>
        <w:rPr>
          <w:rFonts w:ascii="Book Antiqua" w:hAnsi="Book Antiqua" w:cs="Times New Roman"/>
          <w:sz w:val="24"/>
          <w:szCs w:val="24"/>
        </w:rPr>
      </w:pPr>
    </w:p>
    <w:sectPr w:rsidR="002F76E5" w:rsidSect="00E34D8D">
      <w:footerReference w:type="default" r:id="rId8"/>
      <w:pgSz w:w="11906" w:h="16838"/>
      <w:pgMar w:top="993" w:right="1133" w:bottom="1417" w:left="1276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57D" w:rsidRDefault="0017557D" w:rsidP="005278CD">
      <w:pPr>
        <w:spacing w:after="0" w:line="240" w:lineRule="auto"/>
      </w:pPr>
      <w:r>
        <w:separator/>
      </w:r>
    </w:p>
  </w:endnote>
  <w:endnote w:type="continuationSeparator" w:id="0">
    <w:p w:rsidR="0017557D" w:rsidRDefault="0017557D" w:rsidP="0052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49E" w:rsidRDefault="000C0FBC" w:rsidP="00D1649E">
    <w:pPr>
      <w:pStyle w:val="Pieddepage"/>
      <w:pBdr>
        <w:top w:val="thinThickSmallGap" w:sz="24" w:space="1" w:color="622423"/>
      </w:pBdr>
      <w:tabs>
        <w:tab w:val="clear" w:pos="4513"/>
        <w:tab w:val="clear" w:pos="9026"/>
        <w:tab w:val="right" w:pos="9497"/>
      </w:tabs>
      <w:rPr>
        <w:rFonts w:ascii="Cambria" w:hAnsi="Cambria"/>
      </w:rPr>
    </w:pPr>
    <w:r>
      <w:rPr>
        <w:rFonts w:ascii="Cambria" w:hAnsi="Cambria"/>
      </w:rPr>
      <w:t>PV N°</w:t>
    </w:r>
    <w:r w:rsidR="007402D5">
      <w:rPr>
        <w:rFonts w:ascii="Cambria" w:hAnsi="Cambria"/>
      </w:rPr>
      <w:t>2</w:t>
    </w:r>
    <w:r w:rsidR="00773A42">
      <w:rPr>
        <w:rFonts w:ascii="Cambria" w:hAnsi="Cambria"/>
      </w:rPr>
      <w:t>3</w:t>
    </w:r>
    <w:r>
      <w:rPr>
        <w:rFonts w:ascii="Cambria" w:hAnsi="Cambria"/>
      </w:rPr>
      <w:t>/CMI/202</w:t>
    </w:r>
    <w:r w:rsidR="00331E60">
      <w:rPr>
        <w:rFonts w:ascii="Cambria" w:hAnsi="Cambria"/>
      </w:rPr>
      <w:t>4</w:t>
    </w:r>
    <w:r>
      <w:rPr>
        <w:rFonts w:ascii="Cambria" w:hAnsi="Cambria"/>
      </w:rPr>
      <w:t xml:space="preserve">, du </w:t>
    </w:r>
    <w:r w:rsidR="00773A42">
      <w:rPr>
        <w:rFonts w:ascii="Cambria" w:hAnsi="Cambria"/>
      </w:rPr>
      <w:t>10</w:t>
    </w:r>
    <w:r w:rsidR="005278CD">
      <w:rPr>
        <w:rFonts w:ascii="Cambria" w:hAnsi="Cambria"/>
      </w:rPr>
      <w:t>.</w:t>
    </w:r>
    <w:r w:rsidR="00331E60">
      <w:rPr>
        <w:rFonts w:ascii="Cambria" w:hAnsi="Cambria"/>
      </w:rPr>
      <w:t>0</w:t>
    </w:r>
    <w:r w:rsidR="00C91219">
      <w:rPr>
        <w:rFonts w:ascii="Cambria" w:hAnsi="Cambria"/>
      </w:rPr>
      <w:t>6</w:t>
    </w:r>
    <w:r w:rsidR="00105E73">
      <w:rPr>
        <w:rFonts w:ascii="Cambria" w:hAnsi="Cambria"/>
      </w:rPr>
      <w:t>.202</w:t>
    </w:r>
    <w:r w:rsidR="00331E60">
      <w:rPr>
        <w:rFonts w:ascii="Cambria" w:hAnsi="Cambria"/>
      </w:rPr>
      <w:t>4</w:t>
    </w:r>
    <w:r w:rsidR="00105E73">
      <w:rPr>
        <w:rFonts w:ascii="Cambria" w:hAnsi="Cambria"/>
      </w:rPr>
      <w:tab/>
      <w:t xml:space="preserve">Page </w:t>
    </w:r>
    <w:r w:rsidR="00105E73">
      <w:fldChar w:fldCharType="begin"/>
    </w:r>
    <w:r w:rsidR="00105E73">
      <w:instrText xml:space="preserve"> PAGE   \* MERGEFORMAT </w:instrText>
    </w:r>
    <w:r w:rsidR="00105E73">
      <w:fldChar w:fldCharType="separate"/>
    </w:r>
    <w:r w:rsidR="00864883" w:rsidRPr="00864883">
      <w:rPr>
        <w:rFonts w:ascii="Cambria" w:hAnsi="Cambria"/>
        <w:noProof/>
      </w:rPr>
      <w:t>5</w:t>
    </w:r>
    <w:r w:rsidR="00105E73">
      <w:fldChar w:fldCharType="end"/>
    </w:r>
  </w:p>
  <w:p w:rsidR="00462A10" w:rsidRPr="00725156" w:rsidRDefault="0017557D" w:rsidP="009F3291">
    <w:pPr>
      <w:pStyle w:val="Pieddepage"/>
      <w:tabs>
        <w:tab w:val="clear" w:pos="9026"/>
        <w:tab w:val="right" w:pos="9214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57D" w:rsidRDefault="0017557D" w:rsidP="005278CD">
      <w:pPr>
        <w:spacing w:after="0" w:line="240" w:lineRule="auto"/>
      </w:pPr>
      <w:r>
        <w:separator/>
      </w:r>
    </w:p>
  </w:footnote>
  <w:footnote w:type="continuationSeparator" w:id="0">
    <w:p w:rsidR="0017557D" w:rsidRDefault="0017557D" w:rsidP="00527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CD"/>
    <w:rsid w:val="00006A46"/>
    <w:rsid w:val="00022BFF"/>
    <w:rsid w:val="00023A97"/>
    <w:rsid w:val="00041DF0"/>
    <w:rsid w:val="00042809"/>
    <w:rsid w:val="000520D1"/>
    <w:rsid w:val="00056C43"/>
    <w:rsid w:val="00070299"/>
    <w:rsid w:val="00095EBE"/>
    <w:rsid w:val="000A19B2"/>
    <w:rsid w:val="000B31B1"/>
    <w:rsid w:val="000C0FBC"/>
    <w:rsid w:val="000C6FF2"/>
    <w:rsid w:val="00105E73"/>
    <w:rsid w:val="00121CCF"/>
    <w:rsid w:val="00131047"/>
    <w:rsid w:val="0015439A"/>
    <w:rsid w:val="0017557D"/>
    <w:rsid w:val="001A13CE"/>
    <w:rsid w:val="001A4F56"/>
    <w:rsid w:val="001D68C6"/>
    <w:rsid w:val="001E7DB0"/>
    <w:rsid w:val="001F7A86"/>
    <w:rsid w:val="001F7ABE"/>
    <w:rsid w:val="00264BB9"/>
    <w:rsid w:val="00265919"/>
    <w:rsid w:val="002751F4"/>
    <w:rsid w:val="00294343"/>
    <w:rsid w:val="002A1F54"/>
    <w:rsid w:val="002A691C"/>
    <w:rsid w:val="002B0348"/>
    <w:rsid w:val="002D58BD"/>
    <w:rsid w:val="002F76E5"/>
    <w:rsid w:val="00323C22"/>
    <w:rsid w:val="00331E60"/>
    <w:rsid w:val="003454A3"/>
    <w:rsid w:val="0036681E"/>
    <w:rsid w:val="0038098A"/>
    <w:rsid w:val="003A7FDE"/>
    <w:rsid w:val="003B62F9"/>
    <w:rsid w:val="003D017B"/>
    <w:rsid w:val="003E720B"/>
    <w:rsid w:val="00403481"/>
    <w:rsid w:val="0041008B"/>
    <w:rsid w:val="00472104"/>
    <w:rsid w:val="004B041B"/>
    <w:rsid w:val="00502761"/>
    <w:rsid w:val="00517854"/>
    <w:rsid w:val="00525EA2"/>
    <w:rsid w:val="005278CD"/>
    <w:rsid w:val="00544F4E"/>
    <w:rsid w:val="00545A33"/>
    <w:rsid w:val="005703EE"/>
    <w:rsid w:val="0059049A"/>
    <w:rsid w:val="0061262A"/>
    <w:rsid w:val="006370D9"/>
    <w:rsid w:val="00673A70"/>
    <w:rsid w:val="00685D2E"/>
    <w:rsid w:val="006E5C4D"/>
    <w:rsid w:val="007004D9"/>
    <w:rsid w:val="007113A9"/>
    <w:rsid w:val="00725BC1"/>
    <w:rsid w:val="00734C37"/>
    <w:rsid w:val="007402D5"/>
    <w:rsid w:val="0075780E"/>
    <w:rsid w:val="007669A2"/>
    <w:rsid w:val="00773A42"/>
    <w:rsid w:val="00773D84"/>
    <w:rsid w:val="00776A9C"/>
    <w:rsid w:val="00783F2E"/>
    <w:rsid w:val="007B6A2E"/>
    <w:rsid w:val="007E4BDB"/>
    <w:rsid w:val="007E5C59"/>
    <w:rsid w:val="008022B5"/>
    <w:rsid w:val="00827497"/>
    <w:rsid w:val="008470CE"/>
    <w:rsid w:val="00850513"/>
    <w:rsid w:val="00851C6D"/>
    <w:rsid w:val="008626C4"/>
    <w:rsid w:val="0086390E"/>
    <w:rsid w:val="00864883"/>
    <w:rsid w:val="00887DDF"/>
    <w:rsid w:val="00894FD6"/>
    <w:rsid w:val="008B1F4F"/>
    <w:rsid w:val="0090391E"/>
    <w:rsid w:val="00913500"/>
    <w:rsid w:val="009156C0"/>
    <w:rsid w:val="00923BC2"/>
    <w:rsid w:val="00940EAF"/>
    <w:rsid w:val="0094146F"/>
    <w:rsid w:val="009511D9"/>
    <w:rsid w:val="00962DD0"/>
    <w:rsid w:val="0096632D"/>
    <w:rsid w:val="00967393"/>
    <w:rsid w:val="0097216B"/>
    <w:rsid w:val="009C112B"/>
    <w:rsid w:val="009F43C1"/>
    <w:rsid w:val="00A069AD"/>
    <w:rsid w:val="00A1259B"/>
    <w:rsid w:val="00A36E43"/>
    <w:rsid w:val="00A529B9"/>
    <w:rsid w:val="00A557FA"/>
    <w:rsid w:val="00A64124"/>
    <w:rsid w:val="00A708EF"/>
    <w:rsid w:val="00A77A5F"/>
    <w:rsid w:val="00A82BE6"/>
    <w:rsid w:val="00A834DB"/>
    <w:rsid w:val="00B265C9"/>
    <w:rsid w:val="00B51DA7"/>
    <w:rsid w:val="00B62F50"/>
    <w:rsid w:val="00B80F06"/>
    <w:rsid w:val="00B813EE"/>
    <w:rsid w:val="00B82334"/>
    <w:rsid w:val="00B86170"/>
    <w:rsid w:val="00B94940"/>
    <w:rsid w:val="00BA5C05"/>
    <w:rsid w:val="00BA5E79"/>
    <w:rsid w:val="00BA7CCB"/>
    <w:rsid w:val="00BD0101"/>
    <w:rsid w:val="00BD3877"/>
    <w:rsid w:val="00BF1CB5"/>
    <w:rsid w:val="00C136A5"/>
    <w:rsid w:val="00C15EEF"/>
    <w:rsid w:val="00C57D40"/>
    <w:rsid w:val="00C60849"/>
    <w:rsid w:val="00C864DD"/>
    <w:rsid w:val="00C91219"/>
    <w:rsid w:val="00C966A9"/>
    <w:rsid w:val="00CA63C9"/>
    <w:rsid w:val="00CB689C"/>
    <w:rsid w:val="00CB7F6D"/>
    <w:rsid w:val="00CC3CB5"/>
    <w:rsid w:val="00CF235F"/>
    <w:rsid w:val="00D06419"/>
    <w:rsid w:val="00D442E9"/>
    <w:rsid w:val="00D52BE6"/>
    <w:rsid w:val="00D55A2D"/>
    <w:rsid w:val="00D64CF3"/>
    <w:rsid w:val="00D80AA3"/>
    <w:rsid w:val="00D8467C"/>
    <w:rsid w:val="00D9293D"/>
    <w:rsid w:val="00DB392F"/>
    <w:rsid w:val="00DC1724"/>
    <w:rsid w:val="00DC249A"/>
    <w:rsid w:val="00E15516"/>
    <w:rsid w:val="00E378BD"/>
    <w:rsid w:val="00E5277B"/>
    <w:rsid w:val="00E5454C"/>
    <w:rsid w:val="00E72B0D"/>
    <w:rsid w:val="00E97044"/>
    <w:rsid w:val="00EC26CC"/>
    <w:rsid w:val="00EC35CF"/>
    <w:rsid w:val="00EE09A6"/>
    <w:rsid w:val="00F253A8"/>
    <w:rsid w:val="00F43E8F"/>
    <w:rsid w:val="00F53186"/>
    <w:rsid w:val="00F5585C"/>
    <w:rsid w:val="00F64005"/>
    <w:rsid w:val="00F81137"/>
    <w:rsid w:val="00F812DA"/>
    <w:rsid w:val="00FB085A"/>
    <w:rsid w:val="00FB21CA"/>
    <w:rsid w:val="00FB46A8"/>
    <w:rsid w:val="00FC5B91"/>
    <w:rsid w:val="00FC7537"/>
    <w:rsid w:val="00FD5CE1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51AA"/>
  <w15:docId w15:val="{B51DECBD-83B2-46A2-A91D-7A542C58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172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27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8CD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8C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8CD"/>
    <w:rPr>
      <w:rFonts w:ascii="Calibri" w:eastAsia="Calibri" w:hAnsi="Calibri" w:cs="Arial"/>
    </w:rPr>
  </w:style>
  <w:style w:type="character" w:styleId="lev">
    <w:name w:val="Strong"/>
    <w:basedOn w:val="Policepardfaut"/>
    <w:qFormat/>
    <w:rsid w:val="005278CD"/>
    <w:rPr>
      <w:b/>
      <w:bCs/>
    </w:rPr>
  </w:style>
  <w:style w:type="table" w:styleId="Grilledutableau">
    <w:name w:val="Table Grid"/>
    <w:basedOn w:val="TableauNormal"/>
    <w:uiPriority w:val="59"/>
    <w:rsid w:val="00FC5B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42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5165-D0AB-48EC-96FC-90485E08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96</cp:revision>
  <cp:lastPrinted>2024-06-10T08:50:00Z</cp:lastPrinted>
  <dcterms:created xsi:type="dcterms:W3CDTF">2024-05-28T10:15:00Z</dcterms:created>
  <dcterms:modified xsi:type="dcterms:W3CDTF">2024-06-10T13:33:00Z</dcterms:modified>
</cp:coreProperties>
</file>