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842C" w14:textId="77777777" w:rsidR="00125BDD" w:rsidRPr="00125BDD" w:rsidRDefault="00125BDD" w:rsidP="00125BDD">
      <w:pPr>
        <w:pStyle w:val="Titre3"/>
        <w:spacing w:before="0" w:after="0" w:line="276" w:lineRule="auto"/>
        <w:rPr>
          <w:rFonts w:ascii="Tahoma" w:hAnsi="Tahoma" w:cs="Tahoma"/>
          <w:b w:val="0"/>
          <w:sz w:val="6"/>
          <w:szCs w:val="6"/>
        </w:rPr>
      </w:pPr>
      <w:bookmarkStart w:id="0" w:name="_Toc68517192"/>
      <w:r w:rsidRPr="00125BDD">
        <w:rPr>
          <w:rFonts w:ascii="Tahoma" w:hAnsi="Tahoma" w:cs="Tahoma"/>
          <w:sz w:val="32"/>
          <w:szCs w:val="28"/>
        </w:rPr>
        <w:t>Procès-verbal</w:t>
      </w:r>
      <w:r w:rsidR="00B67C35">
        <w:rPr>
          <w:rFonts w:ascii="Tahoma" w:hAnsi="Tahoma" w:cs="Tahoma"/>
          <w:sz w:val="32"/>
          <w:szCs w:val="28"/>
        </w:rPr>
        <w:t xml:space="preserve"> </w:t>
      </w:r>
      <w:r w:rsidRPr="00125BDD">
        <w:rPr>
          <w:rFonts w:ascii="Tahoma" w:hAnsi="Tahoma" w:cs="Tahoma"/>
          <w:sz w:val="32"/>
          <w:szCs w:val="28"/>
        </w:rPr>
        <w:t xml:space="preserve">d’évaluation et d’attribution pour l’acquisition de fournitures </w:t>
      </w:r>
      <w:bookmarkEnd w:id="0"/>
    </w:p>
    <w:p w14:paraId="701F6526" w14:textId="77777777" w:rsidR="00125BDD" w:rsidRPr="00125BDD" w:rsidRDefault="00125BDD" w:rsidP="00125BDD">
      <w:pPr>
        <w:jc w:val="center"/>
        <w:rPr>
          <w:rFonts w:ascii="Tahoma" w:hAnsi="Tahoma" w:cs="Tahoma"/>
        </w:rPr>
      </w:pPr>
      <w:r w:rsidRPr="00125BDD">
        <w:rPr>
          <w:rFonts w:ascii="Tahoma" w:hAnsi="Tahoma" w:cs="Tahoma"/>
          <w:b/>
          <w:bCs/>
        </w:rPr>
        <w:t xml:space="preserve">Intitulé </w:t>
      </w:r>
      <w:r w:rsidRPr="00125BDD">
        <w:rPr>
          <w:rFonts w:ascii="Tahoma" w:hAnsi="Tahoma" w:cs="Tahoma"/>
        </w:rPr>
        <w:t>(</w:t>
      </w:r>
      <w:r w:rsidRPr="00125BDD">
        <w:rPr>
          <w:rFonts w:ascii="Tahoma" w:hAnsi="Tahoma" w:cs="Tahoma"/>
          <w:iCs/>
        </w:rPr>
        <w:t>Caisse Nationale d’Assurance Maladie</w:t>
      </w:r>
      <w:r w:rsidRPr="00125BDD">
        <w:rPr>
          <w:rFonts w:ascii="Tahoma" w:hAnsi="Tahoma" w:cs="Tahoma"/>
          <w:i/>
          <w:iCs/>
        </w:rPr>
        <w:t>)</w:t>
      </w:r>
    </w:p>
    <w:p w14:paraId="7F784DFC" w14:textId="77777777" w:rsidR="00125BDD" w:rsidRPr="00125BDD" w:rsidRDefault="00125BDD" w:rsidP="00125BDD">
      <w:pPr>
        <w:jc w:val="center"/>
        <w:rPr>
          <w:rFonts w:ascii="Tahoma" w:hAnsi="Tahoma" w:cs="Tahoma"/>
        </w:rPr>
      </w:pPr>
    </w:p>
    <w:p w14:paraId="4554C9C9" w14:textId="77777777" w:rsidR="00125BDD" w:rsidRPr="00125BDD" w:rsidRDefault="00125BDD" w:rsidP="00125BDD">
      <w:pPr>
        <w:rPr>
          <w:rFonts w:ascii="Tahoma" w:hAnsi="Tahoma" w:cs="Tahoma"/>
        </w:rPr>
      </w:pPr>
    </w:p>
    <w:p w14:paraId="60CE0CFE" w14:textId="77777777" w:rsidR="00125BDD" w:rsidRPr="00125BDD" w:rsidRDefault="00125BDD" w:rsidP="00125BDD">
      <w:pPr>
        <w:rPr>
          <w:rFonts w:ascii="Tahoma" w:hAnsi="Tahoma" w:cs="Tahoma"/>
        </w:rPr>
      </w:pPr>
    </w:p>
    <w:p w14:paraId="5BD55878" w14:textId="77777777" w:rsidR="00125BDD" w:rsidRPr="00125BDD" w:rsidRDefault="00125BDD" w:rsidP="00125BDD">
      <w:pPr>
        <w:rPr>
          <w:rFonts w:ascii="Tahoma" w:hAnsi="Tahoma" w:cs="Tahoma"/>
        </w:rPr>
      </w:pPr>
    </w:p>
    <w:p w14:paraId="22AFD886" w14:textId="77777777" w:rsidR="00125BDD" w:rsidRPr="00125BDD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tbl>
      <w:tblPr>
        <w:tblW w:w="981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1"/>
      </w:tblGrid>
      <w:tr w:rsidR="00125BDD" w:rsidRPr="00125BDD" w14:paraId="3C925EF2" w14:textId="77777777" w:rsidTr="004C608D">
        <w:trPr>
          <w:trHeight w:val="1803"/>
          <w:jc w:val="center"/>
        </w:trPr>
        <w:tc>
          <w:tcPr>
            <w:tcW w:w="9811" w:type="dxa"/>
            <w:shd w:val="clear" w:color="auto" w:fill="FFFFFF"/>
          </w:tcPr>
          <w:p w14:paraId="4F1259DB" w14:textId="77777777" w:rsidR="00125BDD" w:rsidRPr="00125BDD" w:rsidRDefault="00125BDD" w:rsidP="004C608D">
            <w:pPr>
              <w:rPr>
                <w:rFonts w:ascii="Tahoma" w:hAnsi="Tahoma" w:cs="Tahoma"/>
              </w:rPr>
            </w:pPr>
          </w:p>
          <w:p w14:paraId="0E0E03D9" w14:textId="77777777" w:rsidR="00125BDD" w:rsidRPr="00125BDD" w:rsidRDefault="00125BDD" w:rsidP="004C608D">
            <w:pPr>
              <w:rPr>
                <w:rFonts w:ascii="Tahoma" w:hAnsi="Tahoma" w:cs="Tahoma"/>
                <w:b/>
                <w:bCs/>
              </w:rPr>
            </w:pPr>
          </w:p>
          <w:p w14:paraId="4AB654C7" w14:textId="77777777" w:rsidR="00125BDD" w:rsidRPr="00125BDD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4FDF31EE" w14:textId="77777777" w:rsidR="00125BDD" w:rsidRPr="00125BDD" w:rsidRDefault="00125BDD" w:rsidP="004C608D">
            <w:pPr>
              <w:pStyle w:val="Titre3"/>
              <w:spacing w:before="0" w:after="0" w:line="276" w:lineRule="auto"/>
              <w:rPr>
                <w:rFonts w:ascii="Tahoma" w:hAnsi="Tahoma" w:cs="Tahoma"/>
              </w:rPr>
            </w:pPr>
            <w:bookmarkStart w:id="1" w:name="_Toc68517193"/>
            <w:r w:rsidRPr="00125BDD">
              <w:rPr>
                <w:rFonts w:ascii="Tahoma" w:hAnsi="Tahoma" w:cs="Tahoma"/>
                <w:sz w:val="32"/>
                <w:szCs w:val="28"/>
              </w:rPr>
              <w:t>Procès-verbal</w:t>
            </w:r>
            <w:r w:rsidR="00B67C35">
              <w:rPr>
                <w:rFonts w:ascii="Tahoma" w:hAnsi="Tahoma" w:cs="Tahoma"/>
                <w:sz w:val="32"/>
                <w:szCs w:val="28"/>
              </w:rPr>
              <w:t xml:space="preserve"> </w:t>
            </w:r>
            <w:r w:rsidRPr="00125BDD">
              <w:rPr>
                <w:rFonts w:ascii="Tahoma" w:hAnsi="Tahoma" w:cs="Tahoma"/>
                <w:sz w:val="32"/>
                <w:szCs w:val="28"/>
              </w:rPr>
              <w:t xml:space="preserve">d’évaluation et d’attribution pour l’acquisition </w:t>
            </w:r>
            <w:bookmarkEnd w:id="1"/>
            <w:r w:rsidR="00E7371A">
              <w:rPr>
                <w:rFonts w:ascii="Tahoma" w:hAnsi="Tahoma" w:cs="Tahoma"/>
                <w:sz w:val="32"/>
                <w:szCs w:val="28"/>
              </w:rPr>
              <w:t>de fournitures</w:t>
            </w:r>
          </w:p>
          <w:p w14:paraId="408B56EB" w14:textId="77777777" w:rsidR="00125BDD" w:rsidRPr="00125BDD" w:rsidRDefault="00125BDD" w:rsidP="004C608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6514121" w14:textId="77777777" w:rsidR="00125BDD" w:rsidRPr="00125BDD" w:rsidRDefault="00125BDD" w:rsidP="00125BDD">
      <w:pPr>
        <w:rPr>
          <w:rFonts w:ascii="Tahoma" w:hAnsi="Tahoma" w:cs="Tahoma"/>
        </w:rPr>
      </w:pPr>
    </w:p>
    <w:p w14:paraId="063C7951" w14:textId="77777777" w:rsidR="00125BDD" w:rsidRPr="00125BDD" w:rsidRDefault="00125BDD" w:rsidP="00125BDD">
      <w:pPr>
        <w:suppressAutoHyphens/>
        <w:rPr>
          <w:rFonts w:ascii="Tahoma" w:hAnsi="Tahoma" w:cs="Tahoma"/>
          <w:lang w:eastAsia="ar-SA"/>
        </w:rPr>
      </w:pPr>
    </w:p>
    <w:p w14:paraId="5906C23C" w14:textId="77777777" w:rsidR="00125BDD" w:rsidRPr="00125BDD" w:rsidRDefault="00125BDD" w:rsidP="00125BDD">
      <w:pPr>
        <w:suppressAutoHyphens/>
        <w:rPr>
          <w:rFonts w:ascii="Tahoma" w:hAnsi="Tahoma" w:cs="Tahoma"/>
          <w:lang w:eastAsia="ar-SA"/>
        </w:rPr>
      </w:pPr>
    </w:p>
    <w:p w14:paraId="73565F45" w14:textId="77777777" w:rsidR="00125BDD" w:rsidRPr="00125BDD" w:rsidRDefault="00125BDD" w:rsidP="00125BDD">
      <w:pPr>
        <w:suppressAutoHyphens/>
        <w:rPr>
          <w:rFonts w:ascii="Tahoma" w:hAnsi="Tahoma" w:cs="Tahoma"/>
          <w:lang w:eastAsia="ar-SA"/>
        </w:rPr>
      </w:pPr>
    </w:p>
    <w:p w14:paraId="5391D459" w14:textId="77777777" w:rsidR="00125BDD" w:rsidRPr="00125BDD" w:rsidRDefault="00E7371A" w:rsidP="00125BDD">
      <w:pPr>
        <w:suppressAutoHyphens/>
        <w:jc w:val="center"/>
        <w:rPr>
          <w:rFonts w:ascii="Tahoma" w:hAnsi="Tahoma" w:cs="Tahoma"/>
          <w:b/>
          <w:lang w:eastAsia="ar-SA"/>
        </w:rPr>
      </w:pPr>
      <w:r w:rsidRPr="00125BDD">
        <w:rPr>
          <w:rFonts w:ascii="Tahoma" w:hAnsi="Tahoma" w:cs="Tahoma"/>
          <w:b/>
          <w:u w:val="single"/>
          <w:lang w:eastAsia="ar-SA"/>
        </w:rPr>
        <w:t>Objet</w:t>
      </w:r>
      <w:r w:rsidRPr="00125BDD">
        <w:rPr>
          <w:rFonts w:ascii="Tahoma" w:hAnsi="Tahoma" w:cs="Tahoma"/>
          <w:b/>
          <w:lang w:eastAsia="ar-SA"/>
        </w:rPr>
        <w:t> :</w:t>
      </w:r>
      <w:r w:rsidR="00125BDD" w:rsidRPr="00125BDD">
        <w:rPr>
          <w:rFonts w:ascii="Tahoma" w:hAnsi="Tahoma" w:cs="Tahoma"/>
          <w:b/>
          <w:lang w:eastAsia="ar-SA"/>
        </w:rPr>
        <w:t xml:space="preserve"> </w:t>
      </w:r>
    </w:p>
    <w:p w14:paraId="1C8C44F5" w14:textId="77777777" w:rsidR="00125BDD" w:rsidRPr="00125BDD" w:rsidRDefault="00125BDD" w:rsidP="00125BDD">
      <w:pPr>
        <w:suppressAutoHyphens/>
        <w:jc w:val="center"/>
        <w:rPr>
          <w:rFonts w:ascii="Tahoma" w:hAnsi="Tahoma" w:cs="Tahoma"/>
          <w:b/>
          <w:u w:val="single"/>
          <w:lang w:eastAsia="ar-SA"/>
        </w:rPr>
      </w:pPr>
    </w:p>
    <w:p w14:paraId="4C3E30B0" w14:textId="77777777" w:rsidR="00125BDD" w:rsidRPr="008528B9" w:rsidRDefault="008528B9" w:rsidP="008528B9">
      <w:pPr>
        <w:suppressAutoHyphens/>
        <w:jc w:val="both"/>
        <w:rPr>
          <w:rFonts w:ascii="Tahoma" w:hAnsi="Tahoma" w:cs="Tahoma"/>
          <w:lang w:eastAsia="ar-SA"/>
        </w:rPr>
      </w:pPr>
      <w:r w:rsidRPr="008528B9">
        <w:rPr>
          <w:rFonts w:ascii="Tahoma" w:hAnsi="Tahoma" w:cs="Tahoma"/>
        </w:rPr>
        <w:t>L’Acquisition et la mise en service d’une solution antivirus avec EDR pour la sécurisation des serveurs et des postes de travail de la CNAM et  d’un certificat SSL/TLS pour la sécurisation du domaine cnam.mr et les applications en ligne de la CNAM</w:t>
      </w:r>
    </w:p>
    <w:p w14:paraId="08DEA6EF" w14:textId="77777777" w:rsidR="00125BDD" w:rsidRPr="00125BDD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p w14:paraId="60B6CDE1" w14:textId="77777777" w:rsidR="00125BDD" w:rsidRPr="00125BDD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p w14:paraId="60050D46" w14:textId="77777777" w:rsidR="00125BDD" w:rsidRPr="00125BDD" w:rsidRDefault="00125BDD" w:rsidP="00125BDD">
      <w:pPr>
        <w:keepNext/>
        <w:spacing w:before="240" w:after="60"/>
        <w:outlineLvl w:val="2"/>
        <w:rPr>
          <w:rFonts w:ascii="Tahoma" w:hAnsi="Tahoma" w:cs="Tahoma"/>
          <w:b/>
          <w:bCs/>
        </w:rPr>
      </w:pPr>
    </w:p>
    <w:p w14:paraId="3CDB1CC8" w14:textId="77777777" w:rsidR="00125BDD" w:rsidRPr="00125BDD" w:rsidRDefault="00125BDD" w:rsidP="00125BDD">
      <w:pPr>
        <w:rPr>
          <w:rFonts w:ascii="Tahoma" w:hAnsi="Tahoma" w:cs="Tahoma"/>
        </w:rPr>
      </w:pPr>
    </w:p>
    <w:p w14:paraId="3CEC0324" w14:textId="77777777" w:rsidR="00125BDD" w:rsidRPr="00125BDD" w:rsidRDefault="00125BDD" w:rsidP="00125BDD">
      <w:pPr>
        <w:rPr>
          <w:rFonts w:ascii="Tahoma" w:hAnsi="Tahoma" w:cs="Tahoma"/>
        </w:rPr>
      </w:pPr>
    </w:p>
    <w:p w14:paraId="454157CA" w14:textId="77777777" w:rsidR="00125BDD" w:rsidRPr="00125BDD" w:rsidRDefault="00125BDD" w:rsidP="00125BDD">
      <w:pPr>
        <w:rPr>
          <w:rFonts w:ascii="Tahoma" w:hAnsi="Tahoma" w:cs="Tahoma"/>
        </w:rPr>
      </w:pPr>
    </w:p>
    <w:p w14:paraId="76D1C6CF" w14:textId="77777777" w:rsidR="00125BDD" w:rsidRPr="000A2EF9" w:rsidRDefault="00125BDD" w:rsidP="000A2EF9">
      <w:pPr>
        <w:rPr>
          <w:rFonts w:ascii="Tahoma" w:hAnsi="Tahoma" w:cs="Tahoma"/>
          <w:b/>
          <w:sz w:val="32"/>
          <w:szCs w:val="32"/>
        </w:rPr>
      </w:pPr>
      <w:r w:rsidRPr="00125BDD">
        <w:rPr>
          <w:rFonts w:ascii="Tahoma" w:hAnsi="Tahoma" w:cs="Tahoma"/>
          <w:b/>
          <w:sz w:val="32"/>
          <w:szCs w:val="32"/>
        </w:rPr>
        <w:t xml:space="preserve">Date : </w:t>
      </w:r>
      <w:r w:rsidR="008528B9">
        <w:rPr>
          <w:rFonts w:ascii="Tahoma" w:hAnsi="Tahoma" w:cs="Tahoma"/>
          <w:b/>
          <w:iCs/>
          <w:sz w:val="32"/>
          <w:szCs w:val="32"/>
        </w:rPr>
        <w:t>12/02/2024</w:t>
      </w:r>
    </w:p>
    <w:p w14:paraId="68C4D8A6" w14:textId="77777777" w:rsidR="000A2EF9" w:rsidRDefault="000A2EF9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bookmarkStart w:id="2" w:name="_Toc68517194"/>
    </w:p>
    <w:p w14:paraId="62B85668" w14:textId="77777777" w:rsidR="000A2EF9" w:rsidRDefault="000A2EF9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p w14:paraId="54D7C885" w14:textId="77777777" w:rsidR="000A2EF9" w:rsidRDefault="000A2EF9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bookmarkEnd w:id="2"/>
    <w:p w14:paraId="75347001" w14:textId="77777777" w:rsidR="00125BDD" w:rsidRPr="00125BDD" w:rsidRDefault="00125BDD" w:rsidP="00125BDD">
      <w:pPr>
        <w:spacing w:line="276" w:lineRule="auto"/>
        <w:jc w:val="both"/>
        <w:rPr>
          <w:rFonts w:ascii="Tahoma" w:hAnsi="Tahoma" w:cs="Tahoma"/>
        </w:rPr>
      </w:pPr>
    </w:p>
    <w:p w14:paraId="77B9C075" w14:textId="77777777" w:rsidR="000A2EF9" w:rsidRDefault="000A2EF9" w:rsidP="00125BDD">
      <w:pPr>
        <w:spacing w:after="240"/>
        <w:jc w:val="both"/>
        <w:rPr>
          <w:rFonts w:ascii="Tahoma" w:hAnsi="Tahoma" w:cs="Tahoma"/>
        </w:rPr>
      </w:pPr>
    </w:p>
    <w:p w14:paraId="2C195080" w14:textId="77777777" w:rsidR="000A2EF9" w:rsidRPr="00125BDD" w:rsidRDefault="000A2EF9" w:rsidP="000A2EF9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r w:rsidRPr="00125BDD">
        <w:rPr>
          <w:rFonts w:ascii="Tahoma" w:hAnsi="Tahoma" w:cs="Tahoma"/>
          <w:b/>
          <w:bCs/>
        </w:rPr>
        <w:lastRenderedPageBreak/>
        <w:t xml:space="preserve">Procès-verbal </w:t>
      </w:r>
      <w:r w:rsidR="004E3D54">
        <w:rPr>
          <w:rFonts w:ascii="Tahoma" w:hAnsi="Tahoma" w:cs="Tahoma"/>
          <w:b/>
          <w:bCs/>
        </w:rPr>
        <w:t xml:space="preserve">d’évaluation et de proposition </w:t>
      </w:r>
      <w:r w:rsidRPr="00125BDD">
        <w:rPr>
          <w:rFonts w:ascii="Tahoma" w:hAnsi="Tahoma" w:cs="Tahoma"/>
          <w:b/>
          <w:bCs/>
        </w:rPr>
        <w:t>d’attribution de marché</w:t>
      </w:r>
    </w:p>
    <w:p w14:paraId="62320C0D" w14:textId="77777777" w:rsidR="00307BA1" w:rsidRPr="00125BDD" w:rsidRDefault="00125BDD" w:rsidP="000D7C56">
      <w:pPr>
        <w:spacing w:after="240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L'AN DEUX MILLE VIGNT </w:t>
      </w:r>
      <w:r w:rsidR="000D7C56">
        <w:rPr>
          <w:rFonts w:ascii="Tahoma" w:hAnsi="Tahoma" w:cs="Tahoma"/>
        </w:rPr>
        <w:t>QUATRE</w:t>
      </w:r>
      <w:r w:rsidR="00151237">
        <w:rPr>
          <w:rFonts w:ascii="Tahoma" w:hAnsi="Tahoma" w:cs="Tahoma"/>
        </w:rPr>
        <w:t xml:space="preserve"> et le </w:t>
      </w:r>
      <w:r w:rsidR="000D7C56">
        <w:rPr>
          <w:rFonts w:ascii="Tahoma" w:hAnsi="Tahoma" w:cs="Tahoma"/>
        </w:rPr>
        <w:t>lundi 12</w:t>
      </w:r>
      <w:r w:rsidR="001F22D7">
        <w:rPr>
          <w:rFonts w:ascii="Tahoma" w:hAnsi="Tahoma" w:cs="Tahoma"/>
        </w:rPr>
        <w:t xml:space="preserve"> </w:t>
      </w:r>
      <w:r w:rsidR="000D7C56">
        <w:rPr>
          <w:rFonts w:ascii="Tahoma" w:hAnsi="Tahoma" w:cs="Tahoma"/>
        </w:rPr>
        <w:t>février</w:t>
      </w:r>
      <w:r w:rsidR="00307BA1">
        <w:rPr>
          <w:rFonts w:ascii="Tahoma" w:hAnsi="Tahoma" w:cs="Tahoma"/>
        </w:rPr>
        <w:t xml:space="preserve"> à 1</w:t>
      </w:r>
      <w:r w:rsidR="00D974EF">
        <w:rPr>
          <w:rFonts w:ascii="Tahoma" w:hAnsi="Tahoma" w:cs="Tahoma"/>
        </w:rPr>
        <w:t>0</w:t>
      </w:r>
      <w:r w:rsidR="00E7371A">
        <w:rPr>
          <w:rFonts w:ascii="Tahoma" w:hAnsi="Tahoma" w:cs="Tahoma"/>
        </w:rPr>
        <w:t>H00</w:t>
      </w:r>
      <w:r w:rsidRPr="00125BDD">
        <w:rPr>
          <w:rFonts w:ascii="Tahoma" w:hAnsi="Tahoma" w:cs="Tahoma"/>
        </w:rPr>
        <w:t xml:space="preserve">, </w:t>
      </w:r>
      <w:r w:rsidR="00E7371A">
        <w:rPr>
          <w:rFonts w:ascii="Tahoma" w:hAnsi="Tahoma" w:cs="Tahoma"/>
        </w:rPr>
        <w:t>la commission Ad hoc</w:t>
      </w:r>
      <w:r w:rsidRPr="00125BDD">
        <w:rPr>
          <w:rFonts w:ascii="Tahoma" w:hAnsi="Tahoma" w:cs="Tahoma"/>
        </w:rPr>
        <w:t xml:space="preserve">, s’est réunie dans </w:t>
      </w:r>
      <w:r w:rsidR="00D974EF">
        <w:rPr>
          <w:rFonts w:ascii="Tahoma" w:hAnsi="Tahoma" w:cs="Tahoma"/>
        </w:rPr>
        <w:t>le bureau du Directeur Général A</w:t>
      </w:r>
      <w:r w:rsidR="000D7C56">
        <w:rPr>
          <w:rFonts w:ascii="Tahoma" w:hAnsi="Tahoma" w:cs="Tahoma"/>
        </w:rPr>
        <w:t xml:space="preserve">djoint de la CNAM, Pr. Mohamed Mahmoud EL HACEN et sous sa présidence </w:t>
      </w:r>
      <w:r w:rsidRPr="00125BDD">
        <w:rPr>
          <w:rFonts w:ascii="Tahoma" w:hAnsi="Tahoma" w:cs="Tahoma"/>
        </w:rPr>
        <w:t xml:space="preserve">pour procéder à l’évaluation des offres  reçus dans le cadre de la procédure d’appel à la concurrence </w:t>
      </w:r>
      <w:r w:rsidRPr="00125BDD">
        <w:rPr>
          <w:rFonts w:ascii="Tahoma" w:hAnsi="Tahoma" w:cs="Tahoma"/>
          <w:iCs/>
        </w:rPr>
        <w:t xml:space="preserve">relative </w:t>
      </w:r>
      <w:r w:rsidRPr="00814B66">
        <w:rPr>
          <w:rFonts w:ascii="Tahoma" w:hAnsi="Tahoma" w:cs="Tahoma"/>
        </w:rPr>
        <w:t xml:space="preserve">à </w:t>
      </w:r>
      <w:r w:rsidR="000D7C56" w:rsidRPr="009F72FF">
        <w:rPr>
          <w:rFonts w:ascii="Tahoma" w:hAnsi="Tahoma" w:cs="Tahoma"/>
          <w:sz w:val="22"/>
          <w:szCs w:val="22"/>
        </w:rPr>
        <w:t>l’Acquisition et la mise en service d’une solution antivirus avec EDR pour la sécurisation des serveurs et des postes de travail de la CNAM et  d’un certificat SSL/TLS pour la sécurisation du domaine cnam.mr et les applications en ligne de la CNAM</w:t>
      </w:r>
      <w:r w:rsidR="00307BA1" w:rsidRPr="006A3F63">
        <w:rPr>
          <w:rFonts w:ascii="Tahoma" w:hAnsi="Tahoma" w:cs="Tahoma"/>
        </w:rPr>
        <w:t>,</w:t>
      </w:r>
    </w:p>
    <w:p w14:paraId="3505287D" w14:textId="77777777" w:rsidR="00AD128E" w:rsidRPr="000A2EF9" w:rsidRDefault="00125BDD" w:rsidP="00AD128E">
      <w:pPr>
        <w:spacing w:before="240" w:line="276" w:lineRule="auto"/>
        <w:jc w:val="both"/>
        <w:rPr>
          <w:rFonts w:ascii="Tahoma" w:hAnsi="Tahoma" w:cs="Tahoma"/>
        </w:rPr>
      </w:pPr>
      <w:r w:rsidRPr="000A2EF9">
        <w:rPr>
          <w:rFonts w:ascii="Tahoma" w:hAnsi="Tahoma" w:cs="Tahoma"/>
        </w:rPr>
        <w:t>Etaient présents</w:t>
      </w:r>
      <w:r w:rsidR="00AD128E">
        <w:rPr>
          <w:rFonts w:ascii="Tahoma" w:hAnsi="Tahoma" w:cs="Tahoma"/>
        </w:rPr>
        <w:t xml:space="preserve"> : </w:t>
      </w:r>
    </w:p>
    <w:p w14:paraId="21EF0E1E" w14:textId="77777777" w:rsidR="00AD128E" w:rsidRPr="000D7C56" w:rsidRDefault="000D7C56" w:rsidP="000D7C56">
      <w:pPr>
        <w:pStyle w:val="Paragraphedeliste"/>
        <w:numPr>
          <w:ilvl w:val="0"/>
          <w:numId w:val="14"/>
        </w:numPr>
        <w:spacing w:before="240" w:line="360" w:lineRule="auto"/>
        <w:jc w:val="both"/>
        <w:rPr>
          <w:rFonts w:ascii="Tahoma" w:hAnsi="Tahoma" w:cs="Tahoma"/>
          <w:color w:val="auto"/>
          <w:sz w:val="24"/>
          <w:szCs w:val="24"/>
          <w:lang w:val="en-US"/>
        </w:rPr>
      </w:pPr>
      <w:proofErr w:type="spellStart"/>
      <w:r w:rsidRPr="000D7C56">
        <w:rPr>
          <w:rFonts w:ascii="Tahoma" w:hAnsi="Tahoma" w:cs="Tahoma"/>
          <w:color w:val="auto"/>
          <w:sz w:val="24"/>
          <w:szCs w:val="24"/>
          <w:lang w:val="en-US"/>
        </w:rPr>
        <w:t>Pr.Mohamed</w:t>
      </w:r>
      <w:proofErr w:type="spellEnd"/>
      <w:r w:rsidRPr="000D7C56">
        <w:rPr>
          <w:rFonts w:ascii="Tahoma" w:hAnsi="Tahoma" w:cs="Tahoma"/>
          <w:color w:val="auto"/>
          <w:sz w:val="24"/>
          <w:szCs w:val="24"/>
          <w:lang w:val="en-US"/>
        </w:rPr>
        <w:t xml:space="preserve"> Mahmoud EL HACEN</w:t>
      </w:r>
      <w:r w:rsidR="00125BDD" w:rsidRPr="000D7C56">
        <w:rPr>
          <w:rFonts w:ascii="Tahoma" w:hAnsi="Tahoma" w:cs="Tahoma"/>
          <w:color w:val="auto"/>
          <w:sz w:val="24"/>
          <w:szCs w:val="24"/>
          <w:lang w:val="en-US"/>
        </w:rPr>
        <w:t xml:space="preserve">, </w:t>
      </w:r>
      <w:r w:rsidRPr="000D7C56">
        <w:rPr>
          <w:rFonts w:ascii="Tahoma" w:hAnsi="Tahoma" w:cs="Tahoma"/>
          <w:color w:val="auto"/>
          <w:sz w:val="24"/>
          <w:szCs w:val="24"/>
          <w:lang w:val="en-US"/>
        </w:rPr>
        <w:t>President</w:t>
      </w:r>
      <w:r w:rsidR="00125BDD" w:rsidRPr="000D7C56">
        <w:rPr>
          <w:rFonts w:ascii="Tahoma" w:hAnsi="Tahoma" w:cs="Tahoma"/>
          <w:color w:val="auto"/>
          <w:sz w:val="24"/>
          <w:szCs w:val="24"/>
          <w:lang w:val="en-US"/>
        </w:rPr>
        <w:t xml:space="preserve"> de séance</w:t>
      </w:r>
      <w:r>
        <w:rPr>
          <w:rFonts w:ascii="Tahoma" w:hAnsi="Tahoma" w:cs="Tahoma"/>
          <w:color w:val="auto"/>
          <w:sz w:val="24"/>
          <w:szCs w:val="24"/>
          <w:lang w:val="en-US"/>
        </w:rPr>
        <w:t xml:space="preserve"> ;</w:t>
      </w:r>
      <w:r w:rsidR="00125BDD" w:rsidRPr="000D7C56">
        <w:rPr>
          <w:rFonts w:ascii="Tahoma" w:hAnsi="Tahoma" w:cs="Tahoma"/>
          <w:color w:val="auto"/>
          <w:sz w:val="24"/>
          <w:szCs w:val="24"/>
          <w:lang w:val="en-US"/>
        </w:rPr>
        <w:t> </w:t>
      </w:r>
    </w:p>
    <w:p w14:paraId="6AFD4C0B" w14:textId="77777777" w:rsidR="00B94636" w:rsidRPr="00EA6E6F" w:rsidRDefault="00B94636" w:rsidP="00B94636">
      <w:pPr>
        <w:pStyle w:val="Paragraphedeliste"/>
        <w:numPr>
          <w:ilvl w:val="0"/>
          <w:numId w:val="14"/>
        </w:numPr>
        <w:spacing w:after="0"/>
        <w:rPr>
          <w:rFonts w:ascii="Tahoma" w:hAnsi="Tahoma" w:cs="Tahoma"/>
          <w:b/>
          <w:bCs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Mr. Sidi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Mahmoude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Zeidane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SG/CNAM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 w:rsidRPr="00EA6E6F">
        <w:rPr>
          <w:rFonts w:ascii="Tahoma" w:hAnsi="Tahoma" w:cs="Tahoma"/>
          <w:color w:val="auto"/>
          <w:sz w:val="22"/>
          <w:szCs w:val="22"/>
        </w:rPr>
        <w:t xml:space="preserve"> ;</w:t>
      </w:r>
    </w:p>
    <w:p w14:paraId="125B3637" w14:textId="77777777" w:rsidR="00B94636" w:rsidRPr="00EA6E6F" w:rsidRDefault="00B94636" w:rsidP="00B94636">
      <w:pPr>
        <w:pStyle w:val="Paragraphedeliste"/>
        <w:numPr>
          <w:ilvl w:val="0"/>
          <w:numId w:val="14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Dr. Mariem Cheikh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Abdallahi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CTM/CNAM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EA6E6F">
        <w:rPr>
          <w:rFonts w:ascii="Tahoma" w:hAnsi="Tahoma" w:cs="Tahoma"/>
          <w:color w:val="auto"/>
          <w:sz w:val="22"/>
          <w:szCs w:val="22"/>
        </w:rPr>
        <w:t>;</w:t>
      </w:r>
    </w:p>
    <w:p w14:paraId="503B84F7" w14:textId="77777777" w:rsidR="00B94636" w:rsidRPr="00EA6E6F" w:rsidRDefault="00B94636" w:rsidP="00B94636">
      <w:pPr>
        <w:pStyle w:val="Paragraphedeliste"/>
        <w:numPr>
          <w:ilvl w:val="0"/>
          <w:numId w:val="14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Mr.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Mohameden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Kah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DFC/CNAM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EA6E6F">
        <w:rPr>
          <w:rFonts w:ascii="Tahoma" w:hAnsi="Tahoma" w:cs="Tahoma"/>
          <w:color w:val="auto"/>
          <w:sz w:val="22"/>
          <w:szCs w:val="22"/>
        </w:rPr>
        <w:t>;</w:t>
      </w:r>
    </w:p>
    <w:p w14:paraId="1668DF49" w14:textId="77777777" w:rsidR="00B94636" w:rsidRDefault="00B94636" w:rsidP="00B94636">
      <w:pPr>
        <w:pStyle w:val="Paragraphedeliste"/>
        <w:numPr>
          <w:ilvl w:val="0"/>
          <w:numId w:val="14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Mr.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Lam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Abdoulaye, CJ/CNAM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 w:rsidRPr="00EA6E6F">
        <w:rPr>
          <w:rFonts w:ascii="Tahoma" w:hAnsi="Tahoma" w:cs="Tahoma"/>
          <w:color w:val="auto"/>
          <w:sz w:val="22"/>
          <w:szCs w:val="22"/>
        </w:rPr>
        <w:t xml:space="preserve"> ;</w:t>
      </w:r>
    </w:p>
    <w:p w14:paraId="504AA80B" w14:textId="77777777" w:rsidR="00B94636" w:rsidRDefault="00B94636" w:rsidP="00B94636">
      <w:pPr>
        <w:pStyle w:val="Paragraphedeliste"/>
        <w:numPr>
          <w:ilvl w:val="0"/>
          <w:numId w:val="14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Moulaye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Smayile</w:t>
      </w:r>
      <w:proofErr w:type="spellEnd"/>
      <w:r>
        <w:rPr>
          <w:rFonts w:ascii="Tahoma" w:hAnsi="Tahoma" w:cs="Tahoma"/>
          <w:color w:val="auto"/>
          <w:sz w:val="22"/>
          <w:szCs w:val="22"/>
        </w:rPr>
        <w:t xml:space="preserve"> Abdel Haye, DSI/CNAM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>
        <w:rPr>
          <w:rFonts w:ascii="Tahoma" w:hAnsi="Tahoma" w:cs="Tahoma"/>
          <w:color w:val="auto"/>
          <w:sz w:val="22"/>
          <w:szCs w:val="22"/>
        </w:rPr>
        <w:t> ;</w:t>
      </w:r>
    </w:p>
    <w:p w14:paraId="5B1D947F" w14:textId="77777777" w:rsidR="00B94636" w:rsidRDefault="00B94636" w:rsidP="00B94636">
      <w:pPr>
        <w:pStyle w:val="Paragraphedeliste"/>
        <w:numPr>
          <w:ilvl w:val="0"/>
          <w:numId w:val="14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Moctar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Deddahi</w:t>
      </w:r>
      <w:proofErr w:type="spellEnd"/>
      <w:r>
        <w:rPr>
          <w:rFonts w:ascii="Tahoma" w:hAnsi="Tahoma" w:cs="Tahoma"/>
          <w:color w:val="auto"/>
          <w:sz w:val="22"/>
          <w:szCs w:val="22"/>
        </w:rPr>
        <w:t>, DACE/CNAM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>
        <w:rPr>
          <w:rFonts w:ascii="Tahoma" w:hAnsi="Tahoma" w:cs="Tahoma"/>
          <w:color w:val="auto"/>
          <w:sz w:val="22"/>
          <w:szCs w:val="22"/>
        </w:rPr>
        <w:t> ;</w:t>
      </w:r>
    </w:p>
    <w:p w14:paraId="18D6B890" w14:textId="77777777" w:rsidR="00B94636" w:rsidRPr="00EA6E6F" w:rsidRDefault="00B94636" w:rsidP="00B94636">
      <w:pPr>
        <w:pStyle w:val="Paragraphedeliste"/>
        <w:numPr>
          <w:ilvl w:val="0"/>
          <w:numId w:val="14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Youssef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Jiyed</w:t>
      </w:r>
      <w:proofErr w:type="spellEnd"/>
      <w:r>
        <w:rPr>
          <w:rFonts w:ascii="Tahoma" w:hAnsi="Tahoma" w:cs="Tahoma"/>
          <w:color w:val="auto"/>
          <w:sz w:val="22"/>
          <w:szCs w:val="22"/>
        </w:rPr>
        <w:t>, CCEP/CNAM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>
        <w:rPr>
          <w:rFonts w:ascii="Tahoma" w:hAnsi="Tahoma" w:cs="Tahoma"/>
          <w:color w:val="auto"/>
          <w:sz w:val="22"/>
          <w:szCs w:val="22"/>
        </w:rPr>
        <w:t xml:space="preserve"> ;</w:t>
      </w:r>
    </w:p>
    <w:p w14:paraId="0073196C" w14:textId="77777777" w:rsidR="00B94636" w:rsidRPr="00EA6E6F" w:rsidRDefault="00B94636" w:rsidP="00B94636">
      <w:pPr>
        <w:pStyle w:val="Paragraphedeliste"/>
        <w:numPr>
          <w:ilvl w:val="0"/>
          <w:numId w:val="14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Mr.Enouar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Sadatt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Yarbe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CPMP/MS</w:t>
      </w:r>
      <w:r w:rsidR="00D974EF">
        <w:rPr>
          <w:rFonts w:ascii="Tahoma" w:hAnsi="Tahoma" w:cs="Tahoma"/>
          <w:color w:val="auto"/>
          <w:sz w:val="22"/>
          <w:szCs w:val="22"/>
        </w:rPr>
        <w:t>, membre</w:t>
      </w:r>
      <w:r w:rsidRPr="00EA6E6F">
        <w:rPr>
          <w:rFonts w:ascii="Tahoma" w:hAnsi="Tahoma" w:cs="Tahoma"/>
          <w:color w:val="auto"/>
          <w:sz w:val="22"/>
          <w:szCs w:val="22"/>
        </w:rPr>
        <w:t>.</w:t>
      </w:r>
    </w:p>
    <w:p w14:paraId="5AA3050C" w14:textId="77777777" w:rsidR="007B667A" w:rsidRPr="00B94636" w:rsidRDefault="007B667A" w:rsidP="00767308">
      <w:pPr>
        <w:pStyle w:val="Paragraphedeliste"/>
        <w:numPr>
          <w:ilvl w:val="0"/>
          <w:numId w:val="14"/>
        </w:numPr>
        <w:spacing w:before="240"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B94636">
        <w:rPr>
          <w:rFonts w:ascii="Tahoma" w:hAnsi="Tahoma" w:cs="Tahoma"/>
          <w:color w:val="auto"/>
          <w:sz w:val="22"/>
          <w:szCs w:val="22"/>
        </w:rPr>
        <w:t>Mr. EL Hassen Mohameden Rabany, Secrétaire de la commission ad hoc.</w:t>
      </w:r>
    </w:p>
    <w:p w14:paraId="3B057BC5" w14:textId="77777777" w:rsidR="00125BDD" w:rsidRPr="00125BDD" w:rsidRDefault="00125BDD" w:rsidP="00123DC1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Après avoir constaté que le quorum est atteint, le Président ouvre la séance et demande aux membres de procéder à l’examen des soumissions reçues suite au dépouillement de la consultation citée plus haut.</w:t>
      </w:r>
    </w:p>
    <w:p w14:paraId="5C6A14C6" w14:textId="77777777" w:rsidR="00125BDD" w:rsidRPr="00125BDD" w:rsidRDefault="00125BDD" w:rsidP="00125BDD">
      <w:pPr>
        <w:spacing w:before="100" w:beforeAutospacing="1" w:after="100" w:afterAutospacing="1"/>
        <w:rPr>
          <w:rFonts w:ascii="Tahoma" w:hAnsi="Tahoma" w:cs="Tahoma"/>
        </w:rPr>
      </w:pPr>
      <w:r w:rsidRPr="00125BDD">
        <w:rPr>
          <w:rFonts w:ascii="Tahoma" w:hAnsi="Tahoma" w:cs="Tahoma"/>
        </w:rPr>
        <w:t>Il ressort de cet examen que :</w:t>
      </w:r>
    </w:p>
    <w:p w14:paraId="6CABD275" w14:textId="77777777" w:rsidR="00125BDD" w:rsidRPr="00125BDD" w:rsidRDefault="00125BDD" w:rsidP="00AD128E">
      <w:pPr>
        <w:numPr>
          <w:ilvl w:val="0"/>
          <w:numId w:val="1"/>
        </w:numPr>
        <w:rPr>
          <w:rFonts w:ascii="Tahoma" w:hAnsi="Tahoma" w:cs="Tahoma"/>
        </w:rPr>
      </w:pPr>
      <w:r w:rsidRPr="00125BDD">
        <w:rPr>
          <w:rFonts w:ascii="Tahoma" w:hAnsi="Tahoma" w:cs="Tahoma"/>
        </w:rPr>
        <w:t>les entreprises suivantes ont répondu dans les délais imposés :</w:t>
      </w:r>
    </w:p>
    <w:p w14:paraId="16B5CD3D" w14:textId="77777777" w:rsidR="00D96898" w:rsidRPr="00814B66" w:rsidRDefault="00B94636" w:rsidP="00814B66">
      <w:pPr>
        <w:numPr>
          <w:ilvl w:val="0"/>
          <w:numId w:val="12"/>
        </w:numPr>
        <w:rPr>
          <w:rFonts w:ascii="Tahoma" w:hAnsi="Tahoma" w:cs="Tahoma"/>
          <w:iCs/>
        </w:rPr>
      </w:pPr>
      <w:r>
        <w:rPr>
          <w:rFonts w:ascii="Tahoma" w:hAnsi="Tahoma" w:cs="Tahoma"/>
          <w:sz w:val="22"/>
          <w:szCs w:val="22"/>
          <w:lang w:val="en-US"/>
        </w:rPr>
        <w:t xml:space="preserve">GLOBAL IT VISION </w:t>
      </w:r>
      <w:r w:rsidR="00D96898" w:rsidRPr="00814B66">
        <w:rPr>
          <w:rFonts w:ascii="Tahoma" w:hAnsi="Tahoma" w:cs="Tahoma"/>
          <w:iCs/>
        </w:rPr>
        <w:t>;</w:t>
      </w:r>
      <w:r w:rsidR="00F96D7D" w:rsidRPr="00814B66">
        <w:rPr>
          <w:rFonts w:ascii="Tahoma" w:hAnsi="Tahoma" w:cs="Tahoma"/>
          <w:iCs/>
        </w:rPr>
        <w:t xml:space="preserve"> </w:t>
      </w:r>
    </w:p>
    <w:p w14:paraId="578F6504" w14:textId="77777777" w:rsidR="00814B66" w:rsidRDefault="00D974EF" w:rsidP="009C3843">
      <w:pPr>
        <w:pStyle w:val="Paragraphedeliste"/>
        <w:numPr>
          <w:ilvl w:val="0"/>
          <w:numId w:val="12"/>
        </w:numPr>
        <w:rPr>
          <w:rFonts w:ascii="Tahoma" w:eastAsia="Times New Roman" w:hAnsi="Tahoma" w:cs="Tahoma"/>
          <w:color w:val="auto"/>
          <w:sz w:val="24"/>
          <w:szCs w:val="24"/>
          <w:lang w:eastAsia="fr-FR"/>
        </w:rPr>
      </w:pPr>
      <w:proofErr w:type="spellStart"/>
      <w:r>
        <w:rPr>
          <w:rFonts w:ascii="Tahoma" w:hAnsi="Tahoma" w:cs="Tahoma"/>
          <w:color w:val="auto"/>
          <w:sz w:val="22"/>
          <w:szCs w:val="22"/>
        </w:rPr>
        <w:t>Picosoft</w:t>
      </w:r>
      <w:proofErr w:type="spellEnd"/>
      <w:r w:rsidR="00B94636">
        <w:rPr>
          <w:rFonts w:ascii="Tahoma" w:hAnsi="Tahoma" w:cs="Tahoma"/>
          <w:color w:val="auto"/>
          <w:sz w:val="22"/>
          <w:szCs w:val="22"/>
        </w:rPr>
        <w:t xml:space="preserve"> SARL </w:t>
      </w:r>
      <w:r w:rsidR="007B53D1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;</w:t>
      </w:r>
    </w:p>
    <w:p w14:paraId="33232BB6" w14:textId="77777777" w:rsidR="007B53D1" w:rsidRPr="009C3843" w:rsidRDefault="00B94636" w:rsidP="00814B66">
      <w:pPr>
        <w:pStyle w:val="Paragraphedeliste"/>
        <w:numPr>
          <w:ilvl w:val="0"/>
          <w:numId w:val="12"/>
        </w:numPr>
        <w:rPr>
          <w:rFonts w:ascii="Tahoma" w:eastAsia="Times New Roman" w:hAnsi="Tahoma" w:cs="Tahoma"/>
          <w:color w:val="auto"/>
          <w:sz w:val="24"/>
          <w:szCs w:val="24"/>
          <w:lang w:eastAsia="fr-FR"/>
        </w:rPr>
      </w:pPr>
      <w:r>
        <w:rPr>
          <w:rFonts w:ascii="Tahoma" w:hAnsi="Tahoma" w:cs="Tahoma"/>
          <w:color w:val="auto"/>
          <w:sz w:val="22"/>
          <w:szCs w:val="22"/>
        </w:rPr>
        <w:t>Software Mangement Solutions</w:t>
      </w:r>
      <w:r w:rsidR="007B53D1">
        <w:rPr>
          <w:rFonts w:ascii="Tahoma" w:hAnsi="Tahoma" w:cs="Tahoma"/>
          <w:color w:val="auto"/>
          <w:sz w:val="22"/>
          <w:szCs w:val="22"/>
        </w:rPr>
        <w:t>.</w:t>
      </w:r>
    </w:p>
    <w:p w14:paraId="6750B61D" w14:textId="77777777" w:rsidR="00125BDD" w:rsidRDefault="00125BDD" w:rsidP="00F62470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un procès-verbal d’ouverture des plis a été dressé par </w:t>
      </w:r>
      <w:r w:rsidR="007B53D1">
        <w:rPr>
          <w:rFonts w:ascii="Tahoma" w:hAnsi="Tahoma" w:cs="Tahoma"/>
        </w:rPr>
        <w:t>la commission Ad hoc</w:t>
      </w:r>
      <w:r w:rsidRPr="00125BDD">
        <w:rPr>
          <w:rFonts w:ascii="Tahoma" w:hAnsi="Tahoma" w:cs="Tahoma"/>
        </w:rPr>
        <w:t>. il a été signé par l’ensemble des personnes présentes.</w:t>
      </w:r>
    </w:p>
    <w:p w14:paraId="1E675DF0" w14:textId="77777777" w:rsidR="00D974EF" w:rsidRDefault="00D974EF" w:rsidP="00D974EF">
      <w:pPr>
        <w:spacing w:before="100" w:beforeAutospacing="1" w:after="100" w:afterAutospacing="1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Suite à l’ouverture des plis une sous-commission d’évaluation des offres techniques a été désigné, </w:t>
      </w:r>
      <w:r w:rsidR="00101E52">
        <w:rPr>
          <w:rFonts w:ascii="Tahoma" w:hAnsi="Tahoma" w:cs="Tahoma"/>
        </w:rPr>
        <w:t xml:space="preserve">elle est </w:t>
      </w:r>
      <w:r>
        <w:rPr>
          <w:rFonts w:ascii="Tahoma" w:hAnsi="Tahoma" w:cs="Tahoma"/>
        </w:rPr>
        <w:t>composée de :</w:t>
      </w:r>
    </w:p>
    <w:p w14:paraId="7E8B8D23" w14:textId="77777777" w:rsidR="00D974EF" w:rsidRDefault="00D974EF" w:rsidP="00D974EF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auto"/>
          <w:sz w:val="24"/>
          <w:szCs w:val="24"/>
          <w:lang w:eastAsia="fr-FR"/>
        </w:rPr>
      </w:pPr>
      <w:proofErr w:type="spellStart"/>
      <w:r w:rsidRPr="00D974EF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Mr.Enouar</w:t>
      </w:r>
      <w:proofErr w:type="spellEnd"/>
      <w:r w:rsidRPr="00D974EF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 xml:space="preserve"> </w:t>
      </w:r>
      <w:proofErr w:type="spellStart"/>
      <w:r w:rsidRPr="00D974EF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Sadatt</w:t>
      </w:r>
      <w:proofErr w:type="spellEnd"/>
      <w:r w:rsidRPr="00D974EF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 xml:space="preserve"> </w:t>
      </w:r>
      <w:proofErr w:type="spellStart"/>
      <w:r w:rsidRPr="00D974EF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Yarbe</w:t>
      </w:r>
      <w:proofErr w:type="spellEnd"/>
      <w:r w:rsidRPr="00D974EF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 xml:space="preserve">, CPMP/MS, </w:t>
      </w:r>
      <w:r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président ;</w:t>
      </w:r>
    </w:p>
    <w:p w14:paraId="4AB26675" w14:textId="77777777" w:rsidR="00E55287" w:rsidRDefault="00E55287" w:rsidP="00E55287">
      <w:pPr>
        <w:pStyle w:val="Paragraphedeliste"/>
        <w:numPr>
          <w:ilvl w:val="0"/>
          <w:numId w:val="1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Moulaye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Smayile</w:t>
      </w:r>
      <w:proofErr w:type="spellEnd"/>
      <w:r>
        <w:rPr>
          <w:rFonts w:ascii="Tahoma" w:hAnsi="Tahoma" w:cs="Tahoma"/>
          <w:color w:val="auto"/>
          <w:sz w:val="22"/>
          <w:szCs w:val="22"/>
        </w:rPr>
        <w:t xml:space="preserve"> Abdel Haye, DSI/CNAM, membre ;</w:t>
      </w:r>
    </w:p>
    <w:p w14:paraId="39118254" w14:textId="77777777" w:rsidR="00E55287" w:rsidRDefault="00E55287" w:rsidP="00E55287">
      <w:pPr>
        <w:pStyle w:val="Paragraphedeliste"/>
        <w:numPr>
          <w:ilvl w:val="0"/>
          <w:numId w:val="1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Youssef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Jiyed</w:t>
      </w:r>
      <w:proofErr w:type="spellEnd"/>
      <w:r>
        <w:rPr>
          <w:rFonts w:ascii="Tahoma" w:hAnsi="Tahoma" w:cs="Tahoma"/>
          <w:color w:val="auto"/>
          <w:sz w:val="22"/>
          <w:szCs w:val="22"/>
        </w:rPr>
        <w:t>, CCEP/CNAM, membre ;</w:t>
      </w:r>
    </w:p>
    <w:p w14:paraId="6FC1929A" w14:textId="77777777" w:rsidR="00D974EF" w:rsidRPr="00E55287" w:rsidRDefault="00E55287" w:rsidP="00E55287">
      <w:pPr>
        <w:pStyle w:val="Paragraphedeliste"/>
        <w:numPr>
          <w:ilvl w:val="0"/>
          <w:numId w:val="1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 w:rsidRPr="00B94636">
        <w:rPr>
          <w:rFonts w:ascii="Tahoma" w:hAnsi="Tahoma" w:cs="Tahoma"/>
          <w:color w:val="auto"/>
          <w:sz w:val="22"/>
          <w:szCs w:val="22"/>
        </w:rPr>
        <w:t>Mr. EL Hassen Mohameden Rabany</w:t>
      </w:r>
      <w:r>
        <w:rPr>
          <w:rFonts w:ascii="Tahoma" w:hAnsi="Tahoma" w:cs="Tahoma"/>
          <w:color w:val="auto"/>
          <w:sz w:val="22"/>
          <w:szCs w:val="22"/>
        </w:rPr>
        <w:t>, SMG/SG/CNAM, membre.</w:t>
      </w:r>
    </w:p>
    <w:p w14:paraId="7021FFB9" w14:textId="77777777" w:rsidR="00125BDD" w:rsidRPr="00125BDD" w:rsidRDefault="007B53D1" w:rsidP="00125BDD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La commission</w:t>
      </w:r>
      <w:r w:rsidR="00125BDD" w:rsidRPr="00125BDD">
        <w:rPr>
          <w:rFonts w:ascii="Tahoma" w:hAnsi="Tahoma" w:cs="Tahoma"/>
        </w:rPr>
        <w:t xml:space="preserve"> a, par la suite, procédé à l’examen détaillé des offres.</w:t>
      </w:r>
    </w:p>
    <w:p w14:paraId="635C5E0E" w14:textId="77777777" w:rsidR="00125BDD" w:rsidRPr="00125BDD" w:rsidRDefault="00125BDD" w:rsidP="00125BDD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Examen de la conformité des offres </w:t>
      </w:r>
    </w:p>
    <w:p w14:paraId="6991370B" w14:textId="77777777" w:rsidR="00125BDD" w:rsidRPr="00125BDD" w:rsidRDefault="00125BDD" w:rsidP="00125BDD">
      <w:pPr>
        <w:spacing w:before="100" w:beforeAutospacing="1" w:after="100" w:afterAutospacing="1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  Il consiste en la vérification de la conformité des éléments suivants :</w:t>
      </w:r>
    </w:p>
    <w:p w14:paraId="02F999C9" w14:textId="77777777" w:rsidR="00125BDD" w:rsidRPr="00125BDD" w:rsidRDefault="00125BDD" w:rsidP="00125BDD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</w:rPr>
      </w:pPr>
      <w:r w:rsidRPr="00125BDD">
        <w:rPr>
          <w:rFonts w:ascii="Tahoma" w:hAnsi="Tahoma" w:cs="Tahoma"/>
        </w:rPr>
        <w:t>soumission complétée et signée ;</w:t>
      </w:r>
    </w:p>
    <w:p w14:paraId="3C8D6001" w14:textId="77777777" w:rsidR="00125BDD" w:rsidRPr="00125BDD" w:rsidRDefault="00125BDD" w:rsidP="00125BDD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</w:rPr>
      </w:pPr>
      <w:r w:rsidRPr="00125BDD">
        <w:rPr>
          <w:rFonts w:ascii="Tahoma" w:hAnsi="Tahoma" w:cs="Tahoma"/>
        </w:rPr>
        <w:t>délai de validité des offres ;</w:t>
      </w:r>
    </w:p>
    <w:p w14:paraId="16A8D1BF" w14:textId="77777777" w:rsidR="00125BDD" w:rsidRPr="00125BDD" w:rsidRDefault="00125BDD" w:rsidP="00125BDD">
      <w:pPr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125BDD">
        <w:rPr>
          <w:rFonts w:ascii="Tahoma" w:hAnsi="Tahoma" w:cs="Tahoma"/>
          <w:bCs/>
        </w:rPr>
        <w:t xml:space="preserve">Qualification des soumissionnaires </w:t>
      </w:r>
    </w:p>
    <w:p w14:paraId="65834C86" w14:textId="77777777" w:rsidR="00125BDD" w:rsidRPr="00125BDD" w:rsidRDefault="00125BDD" w:rsidP="00125BDD">
      <w:pPr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L’élément </w:t>
      </w:r>
      <w:r w:rsidR="007B53D1" w:rsidRPr="00125BDD">
        <w:rPr>
          <w:rFonts w:ascii="Tahoma" w:hAnsi="Tahoma" w:cs="Tahoma"/>
        </w:rPr>
        <w:t>justifiant la</w:t>
      </w:r>
      <w:r w:rsidRPr="00125BDD">
        <w:rPr>
          <w:rFonts w:ascii="Tahoma" w:hAnsi="Tahoma" w:cs="Tahoma"/>
        </w:rPr>
        <w:t xml:space="preserve"> capacité du soumissionnaire à exécuter la commande est :</w:t>
      </w:r>
    </w:p>
    <w:p w14:paraId="791B9D19" w14:textId="77777777" w:rsidR="00125BDD" w:rsidRPr="00125BDD" w:rsidRDefault="00125BDD" w:rsidP="00125BDD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3366C1EB" w14:textId="77777777" w:rsidR="00125BDD" w:rsidRDefault="002860E8" w:rsidP="00125BDD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2860E8">
        <w:rPr>
          <w:rFonts w:ascii="Tahoma" w:hAnsi="Tahoma" w:cs="Tahoma"/>
        </w:rPr>
        <w:t>Copies des attestations relatives à l’expérience dans le domaine</w:t>
      </w:r>
      <w:r>
        <w:rPr>
          <w:rFonts w:ascii="Tahoma" w:hAnsi="Tahoma" w:cs="Tahoma"/>
        </w:rPr>
        <w:t xml:space="preserve"> </w:t>
      </w:r>
      <w:r w:rsidR="00E46CC1">
        <w:rPr>
          <w:rFonts w:ascii="Tahoma" w:hAnsi="Tahoma" w:cs="Tahoma"/>
        </w:rPr>
        <w:t>;</w:t>
      </w:r>
    </w:p>
    <w:p w14:paraId="082A1556" w14:textId="77777777" w:rsidR="00E46CC1" w:rsidRPr="00F62470" w:rsidRDefault="00E46CC1" w:rsidP="00125BDD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le planning de livraison des fournitures tenant lieu de délai contractuel d’exécution.</w:t>
      </w:r>
    </w:p>
    <w:p w14:paraId="51814A39" w14:textId="77777777" w:rsidR="00125BDD" w:rsidRPr="00125BDD" w:rsidRDefault="00125BDD" w:rsidP="00125BDD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Conformité des fournitures </w:t>
      </w:r>
    </w:p>
    <w:p w14:paraId="68095F92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  <w:bCs/>
        </w:rPr>
        <w:t>Elle consiste à vérifier que</w:t>
      </w:r>
      <w:r w:rsidR="00D96898">
        <w:rPr>
          <w:rFonts w:ascii="Tahoma" w:hAnsi="Tahoma" w:cs="Tahoma"/>
          <w:bCs/>
        </w:rPr>
        <w:t xml:space="preserve"> </w:t>
      </w:r>
      <w:r w:rsidR="00D96898">
        <w:rPr>
          <w:rFonts w:ascii="Tahoma" w:hAnsi="Tahoma" w:cs="Tahoma"/>
        </w:rPr>
        <w:t xml:space="preserve">toutes les fournitures </w:t>
      </w:r>
      <w:r w:rsidRPr="00125BDD">
        <w:rPr>
          <w:rFonts w:ascii="Tahoma" w:hAnsi="Tahoma" w:cs="Tahoma"/>
        </w:rPr>
        <w:t>que le soumissionnaire se propose de livrer en exécution de la commande sont conformes aux spécifications du Devis Descriptif Quantitatif Estimatif (DDQE). Il s’agit des éléments suivants :</w:t>
      </w:r>
    </w:p>
    <w:p w14:paraId="4AA44F56" w14:textId="77777777" w:rsidR="0051680A" w:rsidRDefault="00125BDD" w:rsidP="0051680A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jc w:val="both"/>
        <w:rPr>
          <w:rFonts w:ascii="Tahoma" w:hAnsi="Tahoma" w:cs="Tahoma"/>
        </w:rPr>
      </w:pPr>
      <w:r w:rsidRPr="00D96898">
        <w:rPr>
          <w:rFonts w:ascii="Tahoma" w:hAnsi="Tahoma" w:cs="Tahoma"/>
        </w:rPr>
        <w:t>caractéristi</w:t>
      </w:r>
      <w:r w:rsidR="00F62470">
        <w:rPr>
          <w:rFonts w:ascii="Tahoma" w:hAnsi="Tahoma" w:cs="Tahoma"/>
        </w:rPr>
        <w:t>ques techniques des fournitures</w:t>
      </w:r>
      <w:r w:rsidR="0051680A">
        <w:rPr>
          <w:rFonts w:ascii="Tahoma" w:hAnsi="Tahoma" w:cs="Tahoma"/>
        </w:rPr>
        <w:t>.</w:t>
      </w:r>
    </w:p>
    <w:p w14:paraId="1C847448" w14:textId="77777777" w:rsidR="00307BA1" w:rsidRPr="00307BA1" w:rsidRDefault="00490E19" w:rsidP="00131CC5">
      <w:pPr>
        <w:tabs>
          <w:tab w:val="num" w:pos="720"/>
        </w:tabs>
        <w:spacing w:before="100" w:beforeAutospacing="1" w:after="100" w:afterAutospacing="1"/>
        <w:ind w:left="360"/>
        <w:jc w:val="both"/>
        <w:rPr>
          <w:rFonts w:ascii="Tahoma" w:hAnsi="Tahoma" w:cs="Tahoma"/>
          <w:sz w:val="22"/>
          <w:szCs w:val="22"/>
        </w:rPr>
      </w:pPr>
      <w:r w:rsidRPr="00E55287">
        <w:rPr>
          <w:rFonts w:ascii="Tahoma" w:hAnsi="Tahoma" w:cs="Tahoma"/>
        </w:rPr>
        <w:t>Vu le rapport d’évaluation technique établi par la sous-commission d’évaluation, dont copie ci-jointe</w:t>
      </w:r>
      <w:r w:rsidR="00307BA1" w:rsidRPr="00E55287">
        <w:rPr>
          <w:rFonts w:ascii="Tahoma" w:hAnsi="Tahoma" w:cs="Tahoma"/>
        </w:rPr>
        <w:t xml:space="preserve">, la commission ad hoc a pris acte du fait que le les trois (03) fournisseurs </w:t>
      </w:r>
      <w:r w:rsidRPr="00E55287">
        <w:rPr>
          <w:rFonts w:ascii="Tahoma" w:hAnsi="Tahoma" w:cs="Tahoma"/>
          <w:lang w:val="en-US"/>
        </w:rPr>
        <w:t>GLOBAL IT VISION</w:t>
      </w:r>
      <w:r w:rsidR="00307BA1" w:rsidRPr="00E55287">
        <w:rPr>
          <w:rFonts w:ascii="Tahoma" w:hAnsi="Tahoma" w:cs="Tahoma"/>
        </w:rPr>
        <w:t xml:space="preserve">, </w:t>
      </w:r>
      <w:proofErr w:type="spellStart"/>
      <w:r w:rsidR="00D974EF" w:rsidRPr="00E55287">
        <w:rPr>
          <w:rFonts w:ascii="Tahoma" w:hAnsi="Tahoma" w:cs="Tahoma"/>
        </w:rPr>
        <w:t>Picosoft</w:t>
      </w:r>
      <w:proofErr w:type="spellEnd"/>
      <w:r w:rsidRPr="00E55287">
        <w:rPr>
          <w:rFonts w:ascii="Tahoma" w:hAnsi="Tahoma" w:cs="Tahoma"/>
        </w:rPr>
        <w:t xml:space="preserve"> SARL </w:t>
      </w:r>
      <w:r w:rsidR="00307BA1" w:rsidRPr="00E55287">
        <w:rPr>
          <w:rFonts w:ascii="Tahoma" w:hAnsi="Tahoma" w:cs="Tahoma"/>
        </w:rPr>
        <w:t xml:space="preserve">et </w:t>
      </w:r>
      <w:r w:rsidRPr="00E55287">
        <w:rPr>
          <w:rFonts w:ascii="Tahoma" w:hAnsi="Tahoma" w:cs="Tahoma"/>
        </w:rPr>
        <w:t>Software Mangement Solutions</w:t>
      </w:r>
      <w:r w:rsidR="009C3843" w:rsidRPr="00E55287">
        <w:rPr>
          <w:rFonts w:ascii="Tahoma" w:hAnsi="Tahoma" w:cs="Tahoma"/>
        </w:rPr>
        <w:t xml:space="preserve"> </w:t>
      </w:r>
      <w:r w:rsidR="00307BA1" w:rsidRPr="00E55287">
        <w:rPr>
          <w:rFonts w:ascii="Tahoma" w:hAnsi="Tahoma" w:cs="Tahoma"/>
        </w:rPr>
        <w:t xml:space="preserve">ont présenté des </w:t>
      </w:r>
      <w:r w:rsidRPr="00E55287">
        <w:rPr>
          <w:rFonts w:ascii="Tahoma" w:hAnsi="Tahoma" w:cs="Tahoma"/>
        </w:rPr>
        <w:t xml:space="preserve">offres techniques </w:t>
      </w:r>
      <w:r w:rsidR="00101E52">
        <w:rPr>
          <w:rFonts w:ascii="Tahoma" w:hAnsi="Tahoma" w:cs="Tahoma"/>
        </w:rPr>
        <w:t xml:space="preserve">substantiellement </w:t>
      </w:r>
      <w:r w:rsidRPr="00E55287">
        <w:rPr>
          <w:rFonts w:ascii="Tahoma" w:hAnsi="Tahoma" w:cs="Tahoma"/>
        </w:rPr>
        <w:t xml:space="preserve">conformes aux spécifications demandées par la CNAM </w:t>
      </w:r>
      <w:r w:rsidR="00451478" w:rsidRPr="00E55287">
        <w:rPr>
          <w:rFonts w:ascii="Tahoma" w:hAnsi="Tahoma" w:cs="Tahoma"/>
        </w:rPr>
        <w:t xml:space="preserve">et que seul </w:t>
      </w:r>
      <w:r w:rsidR="00307BA1" w:rsidRPr="00E55287">
        <w:rPr>
          <w:rFonts w:ascii="Tahoma" w:hAnsi="Tahoma" w:cs="Tahoma"/>
        </w:rPr>
        <w:t xml:space="preserve">le fournisseur </w:t>
      </w:r>
      <w:proofErr w:type="spellStart"/>
      <w:r w:rsidR="00D974EF" w:rsidRPr="00E55287">
        <w:rPr>
          <w:rFonts w:ascii="Tahoma" w:hAnsi="Tahoma" w:cs="Tahoma"/>
        </w:rPr>
        <w:t>Picosoft</w:t>
      </w:r>
      <w:proofErr w:type="spellEnd"/>
      <w:r w:rsidR="00451478" w:rsidRPr="00E55287">
        <w:rPr>
          <w:rFonts w:ascii="Tahoma" w:hAnsi="Tahoma" w:cs="Tahoma"/>
        </w:rPr>
        <w:t xml:space="preserve"> SARL</w:t>
      </w:r>
      <w:r w:rsidR="00307BA1" w:rsidRPr="00E55287">
        <w:rPr>
          <w:rFonts w:ascii="Tahoma" w:hAnsi="Tahoma" w:cs="Tahoma"/>
        </w:rPr>
        <w:t xml:space="preserve"> </w:t>
      </w:r>
      <w:r w:rsidR="009C3843" w:rsidRPr="00E55287">
        <w:rPr>
          <w:rFonts w:ascii="Tahoma" w:hAnsi="Tahoma" w:cs="Tahoma"/>
        </w:rPr>
        <w:t xml:space="preserve">a présenté </w:t>
      </w:r>
      <w:r w:rsidR="00131CC5" w:rsidRPr="00E55287">
        <w:rPr>
          <w:rFonts w:ascii="Tahoma" w:hAnsi="Tahoma" w:cs="Tahoma"/>
        </w:rPr>
        <w:t xml:space="preserve">trois (03) procès-verbaux de réception </w:t>
      </w:r>
      <w:r w:rsidR="00307BA1" w:rsidRPr="00E55287">
        <w:rPr>
          <w:rFonts w:ascii="Tahoma" w:hAnsi="Tahoma" w:cs="Tahoma"/>
        </w:rPr>
        <w:t xml:space="preserve">pour avoir exécuter </w:t>
      </w:r>
      <w:r w:rsidR="00131CC5" w:rsidRPr="00E55287">
        <w:rPr>
          <w:rFonts w:ascii="Tahoma" w:hAnsi="Tahoma" w:cs="Tahoma"/>
        </w:rPr>
        <w:t>des commandes similaires dont un procès-verbal en date du 19/09/2022 relatif à l’acquisition d’une solution antivirus Endpoint Security avec EDR au profit de l’Instance Supérieure Indépendante pour les élections (ISIE) de Tunisie</w:t>
      </w:r>
      <w:r w:rsidR="00307BA1" w:rsidRPr="00307BA1">
        <w:rPr>
          <w:rFonts w:ascii="Tahoma" w:hAnsi="Tahoma" w:cs="Tahoma"/>
          <w:sz w:val="22"/>
          <w:szCs w:val="22"/>
        </w:rPr>
        <w:t>.</w:t>
      </w:r>
    </w:p>
    <w:p w14:paraId="206DA010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Pour l’examen des points 1, 2 et 3, voir tableau n°1 en annexe.</w:t>
      </w:r>
    </w:p>
    <w:p w14:paraId="28A2383E" w14:textId="77777777" w:rsidR="00125BDD" w:rsidRPr="00125BDD" w:rsidRDefault="00125BDD" w:rsidP="00125B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bCs/>
        </w:rPr>
      </w:pPr>
      <w:r w:rsidRPr="00125BDD">
        <w:rPr>
          <w:rFonts w:ascii="Tahoma" w:hAnsi="Tahoma" w:cs="Tahoma"/>
          <w:bCs/>
        </w:rPr>
        <w:t>Evaluation et comparaison des offres :</w:t>
      </w:r>
    </w:p>
    <w:p w14:paraId="72545F5D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L’évaluation des offres </w:t>
      </w:r>
      <w:r w:rsidR="001F64A6">
        <w:rPr>
          <w:rFonts w:ascii="Tahoma" w:hAnsi="Tahoma" w:cs="Tahoma"/>
        </w:rPr>
        <w:t>est faite</w:t>
      </w:r>
      <w:r w:rsidRPr="00125BDD">
        <w:rPr>
          <w:rFonts w:ascii="Tahoma" w:hAnsi="Tahoma" w:cs="Tahoma"/>
        </w:rPr>
        <w:t xml:space="preserve"> sur la base des critères suivants :</w:t>
      </w:r>
    </w:p>
    <w:p w14:paraId="29DB5F82" w14:textId="77777777" w:rsidR="009440C0" w:rsidRPr="009440C0" w:rsidRDefault="00125BDD" w:rsidP="00602E9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vérifier que l’offre est complète,</w:t>
      </w:r>
      <w:r w:rsidR="00D96898">
        <w:rPr>
          <w:rFonts w:ascii="Tahoma" w:hAnsi="Tahoma" w:cs="Tahoma"/>
        </w:rPr>
        <w:t xml:space="preserve"> </w:t>
      </w:r>
      <w:r w:rsidRPr="00AD128E">
        <w:rPr>
          <w:rFonts w:ascii="Tahoma" w:hAnsi="Tahoma" w:cs="Tahoma"/>
        </w:rPr>
        <w:t>une offre ne présentant pas tous les éléments</w:t>
      </w:r>
      <w:r w:rsidR="00AD128E" w:rsidRPr="00AD128E">
        <w:rPr>
          <w:rFonts w:ascii="Tahoma" w:hAnsi="Tahoma" w:cs="Tahoma"/>
        </w:rPr>
        <w:t xml:space="preserve"> </w:t>
      </w:r>
      <w:r w:rsidRPr="00AD128E">
        <w:rPr>
          <w:rFonts w:ascii="Tahoma" w:hAnsi="Tahoma" w:cs="Tahoma"/>
        </w:rPr>
        <w:t>sera jugée non conforme</w:t>
      </w:r>
      <w:r w:rsidR="00F62470">
        <w:rPr>
          <w:rFonts w:ascii="Tahoma" w:hAnsi="Tahoma" w:cs="Tahoma"/>
        </w:rPr>
        <w:t> ;</w:t>
      </w:r>
      <w:r w:rsidRPr="00F62470">
        <w:rPr>
          <w:rFonts w:ascii="Tahoma" w:hAnsi="Tahoma" w:cs="Tahoma"/>
        </w:rPr>
        <w:t xml:space="preserve"> </w:t>
      </w:r>
      <w:r w:rsidR="00602E96">
        <w:rPr>
          <w:rFonts w:ascii="Tahoma" w:hAnsi="Tahoma" w:cs="Tahoma"/>
        </w:rPr>
        <w:t xml:space="preserve"> </w:t>
      </w:r>
    </w:p>
    <w:p w14:paraId="5FEBC748" w14:textId="77777777" w:rsidR="001F64A6" w:rsidRPr="001F64A6" w:rsidRDefault="009440C0" w:rsidP="004C617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1F64A6">
        <w:rPr>
          <w:rFonts w:ascii="Tahoma" w:hAnsi="Tahoma" w:cs="Tahoma"/>
        </w:rPr>
        <w:t xml:space="preserve"> </w:t>
      </w:r>
      <w:r w:rsidR="00602E96" w:rsidRPr="001F64A6">
        <w:rPr>
          <w:rFonts w:ascii="Tahoma" w:hAnsi="Tahoma" w:cs="Tahoma"/>
        </w:rPr>
        <w:t>comparer les</w:t>
      </w:r>
      <w:r w:rsidRPr="001F64A6">
        <w:rPr>
          <w:rFonts w:ascii="Tahoma" w:hAnsi="Tahoma" w:cs="Tahoma"/>
        </w:rPr>
        <w:t xml:space="preserve"> </w:t>
      </w:r>
      <w:r w:rsidR="00A648B9" w:rsidRPr="001F64A6">
        <w:rPr>
          <w:rFonts w:ascii="Tahoma" w:hAnsi="Tahoma" w:cs="Tahoma"/>
        </w:rPr>
        <w:t xml:space="preserve">prix des </w:t>
      </w:r>
      <w:r w:rsidR="009F2964">
        <w:rPr>
          <w:rFonts w:ascii="Tahoma" w:hAnsi="Tahoma" w:cs="Tahoma"/>
        </w:rPr>
        <w:t xml:space="preserve">offres </w:t>
      </w:r>
      <w:r w:rsidR="00203EEA">
        <w:rPr>
          <w:rFonts w:ascii="Tahoma" w:hAnsi="Tahoma" w:cs="Tahoma"/>
        </w:rPr>
        <w:t xml:space="preserve">des soumissionnaires qualifiés </w:t>
      </w:r>
      <w:r w:rsidR="00814B66">
        <w:rPr>
          <w:rFonts w:ascii="Tahoma" w:hAnsi="Tahoma" w:cs="Tahoma"/>
        </w:rPr>
        <w:t>;</w:t>
      </w:r>
    </w:p>
    <w:p w14:paraId="7348F2D0" w14:textId="77777777" w:rsidR="00125BDD" w:rsidRPr="00125BDD" w:rsidRDefault="00125BDD" w:rsidP="00101E52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lastRenderedPageBreak/>
        <w:t>corriger toute erreur de calcul :</w:t>
      </w:r>
    </w:p>
    <w:p w14:paraId="509817B6" w14:textId="77777777" w:rsidR="00125BDD" w:rsidRPr="00125BDD" w:rsidRDefault="00125BDD" w:rsidP="00101E52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lorsqu’il y a une différence entre les montants en chiffres et en lettres, le montant en lettres fera foi ;</w:t>
      </w:r>
    </w:p>
    <w:p w14:paraId="75D28E96" w14:textId="77777777" w:rsidR="00125BDD" w:rsidRPr="00125BDD" w:rsidRDefault="00125BDD" w:rsidP="00101E52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lorsqu’il y a une incohérence entre le prix unitaire et le prix total obtenu en multipliant le prix unitaire par la quantité, le prix unitaire cité fera foi ;</w:t>
      </w:r>
    </w:p>
    <w:p w14:paraId="29B4F8CB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Les résultats de cette évaluation financière sont contenus dans le tableau n°2 en annexe.</w:t>
      </w:r>
    </w:p>
    <w:p w14:paraId="1EB95798" w14:textId="77777777" w:rsidR="00125BDD" w:rsidRPr="00125BDD" w:rsidRDefault="00125BDD" w:rsidP="00101E52">
      <w:pPr>
        <w:jc w:val="both"/>
        <w:rPr>
          <w:rFonts w:ascii="Tahoma" w:hAnsi="Tahoma" w:cs="Tahoma"/>
          <w:b/>
          <w:bCs/>
        </w:rPr>
      </w:pPr>
      <w:r w:rsidRPr="00125BDD">
        <w:rPr>
          <w:rFonts w:ascii="Tahoma" w:hAnsi="Tahoma" w:cs="Tahoma"/>
          <w:b/>
          <w:bCs/>
        </w:rPr>
        <w:t>Conclusion</w:t>
      </w:r>
    </w:p>
    <w:p w14:paraId="47621F83" w14:textId="77777777" w:rsidR="009C3843" w:rsidRPr="00E55287" w:rsidRDefault="009C3843" w:rsidP="00101E52">
      <w:pPr>
        <w:jc w:val="both"/>
        <w:rPr>
          <w:rFonts w:ascii="Tahoma" w:hAnsi="Tahoma" w:cs="Tahoma"/>
        </w:rPr>
      </w:pPr>
      <w:r w:rsidRPr="00E55287">
        <w:rPr>
          <w:rFonts w:ascii="Tahoma" w:hAnsi="Tahoma" w:cs="Tahoma"/>
        </w:rPr>
        <w:t>Sur la base de ce qui précède</w:t>
      </w:r>
      <w:r w:rsidR="00101E52">
        <w:rPr>
          <w:rFonts w:ascii="Tahoma" w:hAnsi="Tahoma" w:cs="Tahoma"/>
        </w:rPr>
        <w:t>,</w:t>
      </w:r>
      <w:r w:rsidRPr="00E55287">
        <w:rPr>
          <w:rFonts w:ascii="Tahoma" w:hAnsi="Tahoma" w:cs="Tahoma"/>
        </w:rPr>
        <w:t xml:space="preserve"> la commission juge que </w:t>
      </w:r>
      <w:r w:rsidR="004C617C" w:rsidRPr="00E55287">
        <w:rPr>
          <w:rFonts w:ascii="Tahoma" w:hAnsi="Tahoma" w:cs="Tahoma"/>
        </w:rPr>
        <w:t xml:space="preserve">le </w:t>
      </w:r>
      <w:r w:rsidR="00DA17A2" w:rsidRPr="00E55287">
        <w:rPr>
          <w:rFonts w:ascii="Tahoma" w:hAnsi="Tahoma" w:cs="Tahoma"/>
        </w:rPr>
        <w:t>soumissionnaire</w:t>
      </w:r>
      <w:r w:rsidR="004C617C" w:rsidRPr="00E55287">
        <w:rPr>
          <w:rFonts w:ascii="Tahoma" w:hAnsi="Tahoma" w:cs="Tahoma"/>
        </w:rPr>
        <w:t xml:space="preserve"> </w:t>
      </w:r>
      <w:proofErr w:type="spellStart"/>
      <w:r w:rsidR="00D974EF" w:rsidRPr="00E55287">
        <w:rPr>
          <w:rFonts w:ascii="Tahoma" w:hAnsi="Tahoma" w:cs="Tahoma"/>
        </w:rPr>
        <w:t>Picosoft</w:t>
      </w:r>
      <w:proofErr w:type="spellEnd"/>
      <w:r w:rsidR="004C617C" w:rsidRPr="00E55287">
        <w:rPr>
          <w:rFonts w:ascii="Tahoma" w:hAnsi="Tahoma" w:cs="Tahoma"/>
        </w:rPr>
        <w:t xml:space="preserve"> SARL </w:t>
      </w:r>
      <w:r w:rsidRPr="00E55287">
        <w:rPr>
          <w:rFonts w:ascii="Tahoma" w:hAnsi="Tahoma" w:cs="Tahoma"/>
        </w:rPr>
        <w:t xml:space="preserve">a présenté une offre </w:t>
      </w:r>
      <w:r w:rsidR="00101E52">
        <w:rPr>
          <w:rFonts w:ascii="Tahoma" w:hAnsi="Tahoma" w:cs="Tahoma"/>
        </w:rPr>
        <w:t xml:space="preserve">substantiellement </w:t>
      </w:r>
      <w:r w:rsidRPr="00E55287">
        <w:rPr>
          <w:rFonts w:ascii="Tahoma" w:hAnsi="Tahoma" w:cs="Tahoma"/>
        </w:rPr>
        <w:t xml:space="preserve">conforme moins </w:t>
      </w:r>
      <w:proofErr w:type="spellStart"/>
      <w:r w:rsidRPr="00E55287">
        <w:rPr>
          <w:rFonts w:ascii="Tahoma" w:hAnsi="Tahoma" w:cs="Tahoma"/>
        </w:rPr>
        <w:t>disante</w:t>
      </w:r>
      <w:proofErr w:type="spellEnd"/>
      <w:r w:rsidRPr="00E55287">
        <w:rPr>
          <w:rFonts w:ascii="Tahoma" w:hAnsi="Tahoma" w:cs="Tahoma"/>
        </w:rPr>
        <w:t xml:space="preserve"> et propose ainsi de lui adjuger ce marché pour un montant </w:t>
      </w:r>
      <w:r w:rsidR="00052D6F" w:rsidRPr="00E55287">
        <w:rPr>
          <w:rFonts w:ascii="Tahoma" w:hAnsi="Tahoma" w:cs="Tahoma"/>
          <w:b/>
          <w:bCs/>
        </w:rPr>
        <w:t xml:space="preserve">de Huit Cent </w:t>
      </w:r>
      <w:r w:rsidR="004C617C" w:rsidRPr="00E55287">
        <w:rPr>
          <w:rFonts w:ascii="Tahoma" w:hAnsi="Tahoma" w:cs="Tahoma"/>
          <w:b/>
          <w:bCs/>
        </w:rPr>
        <w:t>Quatre</w:t>
      </w:r>
      <w:r w:rsidR="00052D6F" w:rsidRPr="00E55287">
        <w:rPr>
          <w:rFonts w:ascii="Tahoma" w:hAnsi="Tahoma" w:cs="Tahoma"/>
          <w:b/>
          <w:bCs/>
        </w:rPr>
        <w:t xml:space="preserve"> M</w:t>
      </w:r>
      <w:r w:rsidR="00A43EEF" w:rsidRPr="00E55287">
        <w:rPr>
          <w:rFonts w:ascii="Tahoma" w:hAnsi="Tahoma" w:cs="Tahoma"/>
          <w:b/>
          <w:bCs/>
        </w:rPr>
        <w:t>ille</w:t>
      </w:r>
      <w:r w:rsidRPr="00E55287">
        <w:rPr>
          <w:rFonts w:ascii="Tahoma" w:hAnsi="Tahoma" w:cs="Tahoma"/>
          <w:b/>
          <w:bCs/>
        </w:rPr>
        <w:t xml:space="preserve"> </w:t>
      </w:r>
      <w:r w:rsidR="004C617C" w:rsidRPr="00E55287">
        <w:rPr>
          <w:rFonts w:ascii="Tahoma" w:hAnsi="Tahoma" w:cs="Tahoma"/>
          <w:b/>
          <w:bCs/>
        </w:rPr>
        <w:t xml:space="preserve">Trois Cent Quatorze virgule Vingt et Un </w:t>
      </w:r>
      <w:r w:rsidRPr="00E55287">
        <w:rPr>
          <w:rFonts w:ascii="Tahoma" w:hAnsi="Tahoma" w:cs="Tahoma"/>
          <w:b/>
          <w:bCs/>
        </w:rPr>
        <w:t>Ouguiyas MRU (</w:t>
      </w:r>
      <w:r w:rsidR="004C617C" w:rsidRPr="00E55287">
        <w:rPr>
          <w:rFonts w:ascii="Tahoma" w:hAnsi="Tahoma" w:cs="Tahoma"/>
          <w:b/>
          <w:bCs/>
        </w:rPr>
        <w:t>804 314,21</w:t>
      </w:r>
      <w:r w:rsidRPr="00E55287">
        <w:rPr>
          <w:rFonts w:ascii="Tahoma" w:hAnsi="Tahoma" w:cs="Tahoma"/>
          <w:b/>
          <w:bCs/>
        </w:rPr>
        <w:t xml:space="preserve"> MRU TTC) </w:t>
      </w:r>
      <w:r w:rsidRPr="00E55287">
        <w:rPr>
          <w:rFonts w:ascii="Tahoma" w:hAnsi="Tahoma" w:cs="Tahoma"/>
        </w:rPr>
        <w:t>avec un délai de d’</w:t>
      </w:r>
      <w:r w:rsidR="00A43EEF" w:rsidRPr="00E55287">
        <w:rPr>
          <w:rFonts w:ascii="Tahoma" w:hAnsi="Tahoma" w:cs="Tahoma"/>
        </w:rPr>
        <w:t>exécution</w:t>
      </w:r>
      <w:r w:rsidRPr="00E55287">
        <w:rPr>
          <w:rFonts w:ascii="Tahoma" w:hAnsi="Tahoma" w:cs="Tahoma"/>
        </w:rPr>
        <w:t xml:space="preserve"> de </w:t>
      </w:r>
      <w:r w:rsidR="0020433A" w:rsidRPr="00E55287">
        <w:rPr>
          <w:rFonts w:ascii="Tahoma" w:hAnsi="Tahoma" w:cs="Tahoma"/>
        </w:rPr>
        <w:t>dix (10</w:t>
      </w:r>
      <w:r w:rsidRPr="00E55287">
        <w:rPr>
          <w:rFonts w:ascii="Tahoma" w:hAnsi="Tahoma" w:cs="Tahoma"/>
        </w:rPr>
        <w:t>) jours</w:t>
      </w:r>
      <w:r w:rsidR="00101E52">
        <w:rPr>
          <w:rFonts w:ascii="Tahoma" w:hAnsi="Tahoma" w:cs="Tahoma"/>
        </w:rPr>
        <w:t xml:space="preserve"> sous réserve de proroger la validité de son offre </w:t>
      </w:r>
      <w:r w:rsidRPr="00E55287">
        <w:rPr>
          <w:rFonts w:ascii="Tahoma" w:hAnsi="Tahoma" w:cs="Tahoma"/>
        </w:rPr>
        <w:t>.</w:t>
      </w:r>
    </w:p>
    <w:p w14:paraId="1A5FAE66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Le classement des offres financière est contenu dans le tableau n°3.</w:t>
      </w:r>
    </w:p>
    <w:p w14:paraId="63B22F4F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  <w:i/>
          <w:iCs/>
        </w:rPr>
      </w:pPr>
      <w:r w:rsidRPr="00125BDD">
        <w:rPr>
          <w:rFonts w:ascii="Tahoma" w:hAnsi="Tahoma" w:cs="Tahoma"/>
        </w:rPr>
        <w:t>Ce procès-verbal</w:t>
      </w:r>
      <w:r w:rsidR="007B53D1">
        <w:rPr>
          <w:rFonts w:ascii="Tahoma" w:hAnsi="Tahoma" w:cs="Tahoma"/>
        </w:rPr>
        <w:t xml:space="preserve">, </w:t>
      </w:r>
      <w:r w:rsidR="006F14A1">
        <w:rPr>
          <w:rFonts w:ascii="Tahoma" w:hAnsi="Tahoma" w:cs="Tahoma"/>
        </w:rPr>
        <w:t xml:space="preserve">qui sera </w:t>
      </w:r>
      <w:r w:rsidR="007B53D1">
        <w:rPr>
          <w:rFonts w:ascii="Tahoma" w:hAnsi="Tahoma" w:cs="Tahoma"/>
        </w:rPr>
        <w:t>approuvé par l’ordonnateur,</w:t>
      </w:r>
      <w:r w:rsidRPr="00125BDD">
        <w:rPr>
          <w:rFonts w:ascii="Tahoma" w:hAnsi="Tahoma" w:cs="Tahoma"/>
        </w:rPr>
        <w:t xml:space="preserve"> est un avis d’attribution provisoire et sera affiché au siège de </w:t>
      </w:r>
      <w:r w:rsidR="008E7BE9" w:rsidRPr="008E7BE9">
        <w:rPr>
          <w:rFonts w:ascii="Tahoma" w:hAnsi="Tahoma" w:cs="Tahoma"/>
          <w:iCs/>
        </w:rPr>
        <w:t>la CNAM</w:t>
      </w:r>
      <w:r w:rsidRPr="00125BDD">
        <w:rPr>
          <w:rFonts w:ascii="Tahoma" w:hAnsi="Tahoma" w:cs="Tahoma"/>
          <w:i/>
          <w:iCs/>
        </w:rPr>
        <w:t>.</w:t>
      </w:r>
    </w:p>
    <w:p w14:paraId="45CDC2A4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 Un délai de recours de trois (3) jours ouvrables est observé par la Comité.</w:t>
      </w:r>
    </w:p>
    <w:p w14:paraId="01B0D85C" w14:textId="77777777" w:rsidR="00125BDD" w:rsidRPr="00125BDD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 xml:space="preserve"> Ap</w:t>
      </w:r>
      <w:r w:rsidR="00856B33">
        <w:rPr>
          <w:rFonts w:ascii="Tahoma" w:hAnsi="Tahoma" w:cs="Tahoma"/>
        </w:rPr>
        <w:t xml:space="preserve">rès l’épuisement de ce délai, les </w:t>
      </w:r>
      <w:r w:rsidRPr="00125BDD">
        <w:rPr>
          <w:rFonts w:ascii="Tahoma" w:hAnsi="Tahoma" w:cs="Tahoma"/>
        </w:rPr>
        <w:t>attribution</w:t>
      </w:r>
      <w:r w:rsidR="00856B33">
        <w:rPr>
          <w:rFonts w:ascii="Tahoma" w:hAnsi="Tahoma" w:cs="Tahoma"/>
        </w:rPr>
        <w:t>s</w:t>
      </w:r>
      <w:r w:rsidRPr="00125BDD">
        <w:rPr>
          <w:rFonts w:ascii="Tahoma" w:hAnsi="Tahoma" w:cs="Tahoma"/>
        </w:rPr>
        <w:t xml:space="preserve"> provisoire</w:t>
      </w:r>
      <w:r w:rsidR="00856B33">
        <w:rPr>
          <w:rFonts w:ascii="Tahoma" w:hAnsi="Tahoma" w:cs="Tahoma"/>
        </w:rPr>
        <w:t>s</w:t>
      </w:r>
      <w:r w:rsidRPr="00125BDD">
        <w:rPr>
          <w:rFonts w:ascii="Tahoma" w:hAnsi="Tahoma" w:cs="Tahoma"/>
        </w:rPr>
        <w:t xml:space="preserve"> précitée</w:t>
      </w:r>
      <w:r w:rsidR="00856B33">
        <w:rPr>
          <w:rFonts w:ascii="Tahoma" w:hAnsi="Tahoma" w:cs="Tahoma"/>
        </w:rPr>
        <w:t>s</w:t>
      </w:r>
      <w:r w:rsidRPr="00125BDD">
        <w:rPr>
          <w:rFonts w:ascii="Tahoma" w:hAnsi="Tahoma" w:cs="Tahoma"/>
        </w:rPr>
        <w:t xml:space="preserve"> devien</w:t>
      </w:r>
      <w:r w:rsidR="00856B33">
        <w:rPr>
          <w:rFonts w:ascii="Tahoma" w:hAnsi="Tahoma" w:cs="Tahoma"/>
        </w:rPr>
        <w:t>nen</w:t>
      </w:r>
      <w:r w:rsidRPr="00125BDD">
        <w:rPr>
          <w:rFonts w:ascii="Tahoma" w:hAnsi="Tahoma" w:cs="Tahoma"/>
        </w:rPr>
        <w:t>t</w:t>
      </w:r>
      <w:r w:rsidR="00653B23">
        <w:rPr>
          <w:rFonts w:ascii="Tahoma" w:hAnsi="Tahoma" w:cs="Tahoma"/>
        </w:rPr>
        <w:t xml:space="preserve"> </w:t>
      </w:r>
      <w:r w:rsidR="00581F39">
        <w:rPr>
          <w:rFonts w:ascii="Tahoma" w:hAnsi="Tahoma" w:cs="Tahoma"/>
        </w:rPr>
        <w:t>définitives</w:t>
      </w:r>
      <w:r w:rsidRPr="00125BDD">
        <w:rPr>
          <w:rFonts w:ascii="Tahoma" w:hAnsi="Tahoma" w:cs="Tahoma"/>
        </w:rPr>
        <w:t>.</w:t>
      </w:r>
    </w:p>
    <w:p w14:paraId="7868FF89" w14:textId="77777777" w:rsidR="00125BDD" w:rsidRPr="00EB3B8A" w:rsidRDefault="00125BDD" w:rsidP="0020433A">
      <w:pPr>
        <w:jc w:val="both"/>
        <w:rPr>
          <w:rFonts w:ascii="Tahoma" w:eastAsiaTheme="minorHAnsi" w:hAnsi="Tahoma" w:cs="Tahoma"/>
          <w:lang w:eastAsia="en-US"/>
        </w:rPr>
      </w:pPr>
      <w:r w:rsidRPr="00EB3B8A">
        <w:rPr>
          <w:rFonts w:ascii="Tahoma" w:eastAsiaTheme="minorHAnsi" w:hAnsi="Tahoma" w:cs="Tahoma"/>
          <w:lang w:eastAsia="en-US"/>
        </w:rPr>
        <w:t xml:space="preserve">Le Président : </w:t>
      </w:r>
      <w:proofErr w:type="spellStart"/>
      <w:r w:rsidR="0020433A" w:rsidRPr="000D7C56">
        <w:rPr>
          <w:rFonts w:ascii="Tahoma" w:hAnsi="Tahoma" w:cs="Tahoma"/>
          <w:lang w:val="en-US"/>
        </w:rPr>
        <w:t>Pr.Mohamed</w:t>
      </w:r>
      <w:proofErr w:type="spellEnd"/>
      <w:r w:rsidR="0020433A" w:rsidRPr="000D7C56">
        <w:rPr>
          <w:rFonts w:ascii="Tahoma" w:hAnsi="Tahoma" w:cs="Tahoma"/>
          <w:lang w:val="en-US"/>
        </w:rPr>
        <w:t xml:space="preserve"> Mahmoud EL HACEN</w:t>
      </w:r>
    </w:p>
    <w:p w14:paraId="6F201ADD" w14:textId="77777777" w:rsidR="008876CA" w:rsidRDefault="008876CA" w:rsidP="00856B33">
      <w:pPr>
        <w:jc w:val="both"/>
        <w:rPr>
          <w:rFonts w:ascii="Tahoma" w:hAnsi="Tahoma" w:cs="Tahoma"/>
        </w:rPr>
      </w:pPr>
    </w:p>
    <w:p w14:paraId="3DB37703" w14:textId="77777777" w:rsidR="000A2EF9" w:rsidRDefault="00125BDD" w:rsidP="00856B33">
      <w:pPr>
        <w:jc w:val="both"/>
        <w:rPr>
          <w:rFonts w:ascii="Tahoma" w:hAnsi="Tahoma" w:cs="Tahoma"/>
        </w:rPr>
      </w:pPr>
      <w:r w:rsidRPr="00125BDD">
        <w:rPr>
          <w:rFonts w:ascii="Tahoma" w:hAnsi="Tahoma" w:cs="Tahoma"/>
        </w:rPr>
        <w:t>Les membres :</w:t>
      </w:r>
    </w:p>
    <w:p w14:paraId="28E98921" w14:textId="77777777" w:rsidR="009E0437" w:rsidRPr="00EA6E6F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b/>
          <w:bCs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Mr. Sidi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Mahmoude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Zeidane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SG/CNAM ;</w:t>
      </w:r>
    </w:p>
    <w:p w14:paraId="223E8511" w14:textId="77777777" w:rsidR="009E0437" w:rsidRPr="00EA6E6F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Dr. Mariem Cheikh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Abdallahi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CTM/CNAM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EA6E6F">
        <w:rPr>
          <w:rFonts w:ascii="Tahoma" w:hAnsi="Tahoma" w:cs="Tahoma"/>
          <w:color w:val="auto"/>
          <w:sz w:val="22"/>
          <w:szCs w:val="22"/>
        </w:rPr>
        <w:t>;</w:t>
      </w:r>
    </w:p>
    <w:p w14:paraId="53839AFE" w14:textId="77777777" w:rsidR="009E0437" w:rsidRPr="00EA6E6F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Mr.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Mohameden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Kah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DFC/CNAM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EA6E6F">
        <w:rPr>
          <w:rFonts w:ascii="Tahoma" w:hAnsi="Tahoma" w:cs="Tahoma"/>
          <w:color w:val="auto"/>
          <w:sz w:val="22"/>
          <w:szCs w:val="22"/>
        </w:rPr>
        <w:t>;</w:t>
      </w:r>
    </w:p>
    <w:p w14:paraId="7ADDD67D" w14:textId="77777777" w:rsidR="009E0437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color w:val="auto"/>
          <w:sz w:val="22"/>
          <w:szCs w:val="22"/>
        </w:rPr>
      </w:pPr>
      <w:r w:rsidRPr="00EA6E6F">
        <w:rPr>
          <w:rFonts w:ascii="Tahoma" w:hAnsi="Tahoma" w:cs="Tahoma"/>
          <w:color w:val="auto"/>
          <w:sz w:val="22"/>
          <w:szCs w:val="22"/>
        </w:rPr>
        <w:t xml:space="preserve">Mr.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Lam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Abdoulaye, CJ/CNAM ;</w:t>
      </w:r>
    </w:p>
    <w:p w14:paraId="2B7A7FE8" w14:textId="77777777" w:rsidR="009E0437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Moulaye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Smayile</w:t>
      </w:r>
      <w:proofErr w:type="spellEnd"/>
      <w:r>
        <w:rPr>
          <w:rFonts w:ascii="Tahoma" w:hAnsi="Tahoma" w:cs="Tahoma"/>
          <w:color w:val="auto"/>
          <w:sz w:val="22"/>
          <w:szCs w:val="22"/>
        </w:rPr>
        <w:t xml:space="preserve"> Abdel Haye, DSI/CNAM ;</w:t>
      </w:r>
    </w:p>
    <w:p w14:paraId="1589C2EC" w14:textId="77777777" w:rsidR="009E0437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Moctar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Deddahi</w:t>
      </w:r>
      <w:proofErr w:type="spellEnd"/>
      <w:r>
        <w:rPr>
          <w:rFonts w:ascii="Tahoma" w:hAnsi="Tahoma" w:cs="Tahoma"/>
          <w:color w:val="auto"/>
          <w:sz w:val="22"/>
          <w:szCs w:val="22"/>
        </w:rPr>
        <w:t>, DACE/CNAM ;</w:t>
      </w:r>
    </w:p>
    <w:p w14:paraId="610790D4" w14:textId="77777777" w:rsidR="009E0437" w:rsidRPr="00EA6E6F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Mr. Youssef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Jiyed</w:t>
      </w:r>
      <w:proofErr w:type="spellEnd"/>
      <w:r>
        <w:rPr>
          <w:rFonts w:ascii="Tahoma" w:hAnsi="Tahoma" w:cs="Tahoma"/>
          <w:color w:val="auto"/>
          <w:sz w:val="22"/>
          <w:szCs w:val="22"/>
        </w:rPr>
        <w:t>, CCEP/CNAM ;</w:t>
      </w:r>
    </w:p>
    <w:p w14:paraId="7A4BFE96" w14:textId="77777777" w:rsidR="009E0437" w:rsidRPr="00EA6E6F" w:rsidRDefault="009E0437" w:rsidP="00101E52">
      <w:pPr>
        <w:pStyle w:val="Paragraphedeliste"/>
        <w:numPr>
          <w:ilvl w:val="0"/>
          <w:numId w:val="18"/>
        </w:numPr>
        <w:spacing w:after="0" w:line="480" w:lineRule="auto"/>
        <w:rPr>
          <w:rFonts w:ascii="Tahoma" w:hAnsi="Tahoma" w:cs="Tahoma"/>
          <w:color w:val="auto"/>
          <w:sz w:val="22"/>
          <w:szCs w:val="22"/>
        </w:rPr>
      </w:pP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Mr.Enouar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Sadatt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A6E6F">
        <w:rPr>
          <w:rFonts w:ascii="Tahoma" w:hAnsi="Tahoma" w:cs="Tahoma"/>
          <w:color w:val="auto"/>
          <w:sz w:val="22"/>
          <w:szCs w:val="22"/>
        </w:rPr>
        <w:t>Yarbe</w:t>
      </w:r>
      <w:proofErr w:type="spellEnd"/>
      <w:r w:rsidRPr="00EA6E6F">
        <w:rPr>
          <w:rFonts w:ascii="Tahoma" w:hAnsi="Tahoma" w:cs="Tahoma"/>
          <w:color w:val="auto"/>
          <w:sz w:val="22"/>
          <w:szCs w:val="22"/>
        </w:rPr>
        <w:t>, CPMP/MS.</w:t>
      </w:r>
    </w:p>
    <w:p w14:paraId="5072BE12" w14:textId="77777777" w:rsidR="009E0437" w:rsidRPr="00B94636" w:rsidRDefault="009E0437" w:rsidP="00101E52">
      <w:pPr>
        <w:pStyle w:val="Paragraphedeliste"/>
        <w:numPr>
          <w:ilvl w:val="0"/>
          <w:numId w:val="18"/>
        </w:numPr>
        <w:spacing w:before="240" w:line="48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B94636">
        <w:rPr>
          <w:rFonts w:ascii="Tahoma" w:hAnsi="Tahoma" w:cs="Tahoma"/>
          <w:color w:val="auto"/>
          <w:sz w:val="22"/>
          <w:szCs w:val="22"/>
        </w:rPr>
        <w:t>Mr. EL Hassen Mohameden Rabany, Secrétaire de la commission ad hoc.</w:t>
      </w:r>
    </w:p>
    <w:p w14:paraId="5CF2A2DC" w14:textId="77777777" w:rsidR="00125BDD" w:rsidRPr="00767308" w:rsidRDefault="00125BDD" w:rsidP="00125BDD">
      <w:pPr>
        <w:rPr>
          <w:rFonts w:ascii="Tahoma" w:hAnsi="Tahoma" w:cs="Tahoma"/>
          <w:b/>
          <w:color w:val="FF0000"/>
          <w:u w:val="single"/>
          <w:lang w:val="en-US"/>
        </w:rPr>
        <w:sectPr w:rsidR="00125BDD" w:rsidRPr="00767308" w:rsidSect="0061095C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635EC875" w14:textId="77777777" w:rsidR="00125BDD" w:rsidRPr="00125BDD" w:rsidRDefault="00125BDD" w:rsidP="00706C69">
      <w:pPr>
        <w:rPr>
          <w:rFonts w:ascii="Tahoma" w:hAnsi="Tahoma" w:cs="Tahoma"/>
          <w:b/>
          <w:u w:val="single"/>
        </w:rPr>
      </w:pPr>
      <w:r w:rsidRPr="00125BDD">
        <w:rPr>
          <w:rFonts w:ascii="Tahoma" w:hAnsi="Tahoma" w:cs="Tahoma"/>
          <w:b/>
          <w:u w:val="single"/>
        </w:rPr>
        <w:lastRenderedPageBreak/>
        <w:t>Tableau n°1 : Examen de la conformit</w:t>
      </w:r>
      <w:r w:rsidR="00767308">
        <w:rPr>
          <w:rFonts w:ascii="Tahoma" w:hAnsi="Tahoma" w:cs="Tahoma"/>
          <w:b/>
          <w:u w:val="single"/>
        </w:rPr>
        <w:t>é des offres et qualification des</w:t>
      </w:r>
      <w:r w:rsidRPr="00125BDD">
        <w:rPr>
          <w:rFonts w:ascii="Tahoma" w:hAnsi="Tahoma" w:cs="Tahoma"/>
          <w:b/>
          <w:u w:val="single"/>
        </w:rPr>
        <w:t xml:space="preserve"> soumissionnaire</w:t>
      </w:r>
      <w:r w:rsidR="00767308">
        <w:rPr>
          <w:rFonts w:ascii="Tahoma" w:hAnsi="Tahoma" w:cs="Tahoma"/>
          <w:b/>
          <w:u w:val="single"/>
        </w:rPr>
        <w:t>s</w:t>
      </w:r>
    </w:p>
    <w:p w14:paraId="463D17FB" w14:textId="77777777" w:rsidR="00125BDD" w:rsidRPr="00125BDD" w:rsidRDefault="00125BDD" w:rsidP="00125BDD">
      <w:pPr>
        <w:jc w:val="both"/>
        <w:rPr>
          <w:rFonts w:ascii="Tahoma" w:hAnsi="Tahoma" w:cs="Tahom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1719"/>
        <w:gridCol w:w="1559"/>
        <w:gridCol w:w="2268"/>
      </w:tblGrid>
      <w:tr w:rsidR="009E0437" w:rsidRPr="00125BDD" w14:paraId="14481EA2" w14:textId="77777777" w:rsidTr="00C778C3">
        <w:trPr>
          <w:cantSplit/>
          <w:trHeight w:val="969"/>
        </w:trPr>
        <w:tc>
          <w:tcPr>
            <w:tcW w:w="4235" w:type="dxa"/>
            <w:vMerge w:val="restart"/>
          </w:tcPr>
          <w:p w14:paraId="30CDCC1B" w14:textId="77777777" w:rsidR="009E0437" w:rsidRPr="00125BDD" w:rsidRDefault="009E0437" w:rsidP="004C608D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621BEC11" w14:textId="77777777" w:rsidR="009E0437" w:rsidRDefault="009E0437" w:rsidP="004C608D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14:paraId="643C3438" w14:textId="77777777" w:rsidR="009E0437" w:rsidRDefault="009E0437" w:rsidP="004C608D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14:paraId="74AC45B2" w14:textId="77777777" w:rsidR="009E0437" w:rsidRDefault="009E0437" w:rsidP="004C608D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14:paraId="0FFAB973" w14:textId="77777777" w:rsidR="009E0437" w:rsidRPr="00447FD7" w:rsidRDefault="009E0437" w:rsidP="00447FD7">
            <w:pPr>
              <w:widowControl w:val="0"/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447FD7">
              <w:rPr>
                <w:rFonts w:ascii="Tahoma" w:hAnsi="Tahoma" w:cs="Tahoma"/>
                <w:b/>
                <w:snapToGrid w:val="0"/>
                <w:lang w:eastAsia="en-US"/>
              </w:rPr>
              <w:t>Documents à vérifier</w:t>
            </w:r>
          </w:p>
        </w:tc>
        <w:tc>
          <w:tcPr>
            <w:tcW w:w="5546" w:type="dxa"/>
            <w:gridSpan w:val="3"/>
          </w:tcPr>
          <w:p w14:paraId="20A926F4" w14:textId="77777777" w:rsidR="009E0437" w:rsidRPr="00125BDD" w:rsidRDefault="009E0437" w:rsidP="004C608D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Soumissionnaires</w:t>
            </w:r>
          </w:p>
        </w:tc>
      </w:tr>
      <w:tr w:rsidR="009E0437" w:rsidRPr="00773C5B" w14:paraId="3A7C7F26" w14:textId="77777777" w:rsidTr="009E0437">
        <w:trPr>
          <w:cantSplit/>
          <w:trHeight w:val="240"/>
        </w:trPr>
        <w:tc>
          <w:tcPr>
            <w:tcW w:w="4235" w:type="dxa"/>
            <w:vMerge/>
          </w:tcPr>
          <w:p w14:paraId="2DCBE4F9" w14:textId="77777777" w:rsidR="009E0437" w:rsidRPr="00125BDD" w:rsidRDefault="009E0437" w:rsidP="004C608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19" w:type="dxa"/>
          </w:tcPr>
          <w:p w14:paraId="021C002C" w14:textId="77777777" w:rsidR="009E0437" w:rsidRPr="00B44295" w:rsidRDefault="00B44295" w:rsidP="00447FD7">
            <w:pPr>
              <w:rPr>
                <w:rFonts w:ascii="Tahoma" w:hAnsi="Tahoma" w:cs="Tahoma"/>
                <w:b/>
                <w:bCs/>
              </w:rPr>
            </w:pPr>
            <w:r w:rsidRPr="00B44295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GLOBAL IT VISION</w:t>
            </w:r>
          </w:p>
        </w:tc>
        <w:tc>
          <w:tcPr>
            <w:tcW w:w="1559" w:type="dxa"/>
          </w:tcPr>
          <w:p w14:paraId="073F580D" w14:textId="77777777" w:rsidR="009E0437" w:rsidRPr="00B44295" w:rsidRDefault="00D974EF" w:rsidP="00447FD7">
            <w:pPr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Picosoft</w:t>
            </w:r>
            <w:proofErr w:type="spellEnd"/>
            <w:r w:rsidR="00B44295" w:rsidRPr="00B4429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SARL</w:t>
            </w:r>
            <w:r w:rsidR="009E0437" w:rsidRPr="00B44295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2268" w:type="dxa"/>
          </w:tcPr>
          <w:p w14:paraId="2421A9D1" w14:textId="77777777" w:rsidR="009E0437" w:rsidRPr="00B44295" w:rsidRDefault="00B44295" w:rsidP="00447FD7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B44295">
              <w:rPr>
                <w:rFonts w:ascii="Tahoma" w:hAnsi="Tahoma" w:cs="Tahoma"/>
                <w:b/>
                <w:bCs/>
                <w:sz w:val="22"/>
                <w:szCs w:val="22"/>
              </w:rPr>
              <w:t>Software Mangement Solutions</w:t>
            </w:r>
          </w:p>
        </w:tc>
      </w:tr>
      <w:tr w:rsidR="009E0437" w:rsidRPr="00125BDD" w14:paraId="2677A9E7" w14:textId="77777777" w:rsidTr="009E0437">
        <w:trPr>
          <w:trHeight w:val="624"/>
        </w:trPr>
        <w:tc>
          <w:tcPr>
            <w:tcW w:w="4235" w:type="dxa"/>
            <w:vAlign w:val="center"/>
          </w:tcPr>
          <w:p w14:paraId="5526A34B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  <w:sz w:val="22"/>
                <w:szCs w:val="22"/>
              </w:rPr>
              <w:t xml:space="preserve">Soumission complété et signé  </w:t>
            </w:r>
          </w:p>
        </w:tc>
        <w:tc>
          <w:tcPr>
            <w:tcW w:w="1719" w:type="dxa"/>
          </w:tcPr>
          <w:p w14:paraId="4653452B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1559" w:type="dxa"/>
          </w:tcPr>
          <w:p w14:paraId="0391630F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2268" w:type="dxa"/>
          </w:tcPr>
          <w:p w14:paraId="7B91E128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</w:tr>
      <w:tr w:rsidR="009E0437" w:rsidRPr="00125BDD" w14:paraId="756975AF" w14:textId="77777777" w:rsidTr="009E0437">
        <w:trPr>
          <w:trHeight w:val="451"/>
        </w:trPr>
        <w:tc>
          <w:tcPr>
            <w:tcW w:w="4235" w:type="dxa"/>
            <w:vAlign w:val="center"/>
          </w:tcPr>
          <w:p w14:paraId="57BDCBD2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  <w:sz w:val="22"/>
                <w:szCs w:val="22"/>
              </w:rPr>
              <w:t xml:space="preserve">DDQE complété et signé  </w:t>
            </w:r>
          </w:p>
        </w:tc>
        <w:tc>
          <w:tcPr>
            <w:tcW w:w="1719" w:type="dxa"/>
          </w:tcPr>
          <w:p w14:paraId="27412D61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1559" w:type="dxa"/>
          </w:tcPr>
          <w:p w14:paraId="0A769FE8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2268" w:type="dxa"/>
          </w:tcPr>
          <w:p w14:paraId="03E14D91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</w:tr>
      <w:tr w:rsidR="009E0437" w:rsidRPr="00125BDD" w14:paraId="58B1CBF5" w14:textId="77777777" w:rsidTr="009E0437">
        <w:trPr>
          <w:trHeight w:val="415"/>
        </w:trPr>
        <w:tc>
          <w:tcPr>
            <w:tcW w:w="4235" w:type="dxa"/>
            <w:vAlign w:val="center"/>
          </w:tcPr>
          <w:p w14:paraId="69D4BBC0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  <w:sz w:val="22"/>
                <w:szCs w:val="22"/>
              </w:rPr>
              <w:t>Délai de validité de l’offre</w:t>
            </w:r>
          </w:p>
        </w:tc>
        <w:tc>
          <w:tcPr>
            <w:tcW w:w="1719" w:type="dxa"/>
          </w:tcPr>
          <w:p w14:paraId="21339449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1559" w:type="dxa"/>
          </w:tcPr>
          <w:p w14:paraId="52CC7EB3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2268" w:type="dxa"/>
          </w:tcPr>
          <w:p w14:paraId="0A256C20" w14:textId="77777777" w:rsidR="009E0437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</w:tr>
      <w:tr w:rsidR="009E0437" w:rsidRPr="00125BDD" w14:paraId="66DA1206" w14:textId="77777777" w:rsidTr="009E0437">
        <w:trPr>
          <w:trHeight w:val="1479"/>
        </w:trPr>
        <w:tc>
          <w:tcPr>
            <w:tcW w:w="4235" w:type="dxa"/>
          </w:tcPr>
          <w:p w14:paraId="37EA6905" w14:textId="77777777" w:rsidR="009E0437" w:rsidRPr="00125BDD" w:rsidRDefault="009E0437" w:rsidP="00BA5C9A">
            <w:pPr>
              <w:spacing w:line="276" w:lineRule="auto"/>
              <w:rPr>
                <w:rFonts w:ascii="Tahoma" w:hAnsi="Tahoma" w:cs="Tahoma"/>
              </w:rPr>
            </w:pPr>
            <w:r w:rsidRPr="002860E8">
              <w:rPr>
                <w:rFonts w:ascii="Tahoma" w:hAnsi="Tahoma" w:cs="Tahoma"/>
              </w:rPr>
              <w:t>Copies des attestations relatives à l’expérience dans le domaine</w:t>
            </w:r>
          </w:p>
        </w:tc>
        <w:tc>
          <w:tcPr>
            <w:tcW w:w="1719" w:type="dxa"/>
          </w:tcPr>
          <w:p w14:paraId="36CBB7B0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  <w:r w:rsidRPr="001A50A4">
              <w:rPr>
                <w:rFonts w:ascii="Tahoma" w:hAnsi="Tahoma" w:cs="Tahoma"/>
              </w:rPr>
              <w:t>F</w:t>
            </w:r>
          </w:p>
        </w:tc>
        <w:tc>
          <w:tcPr>
            <w:tcW w:w="1559" w:type="dxa"/>
          </w:tcPr>
          <w:p w14:paraId="4052B0BB" w14:textId="77777777" w:rsidR="009E0437" w:rsidRPr="00125BDD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2268" w:type="dxa"/>
          </w:tcPr>
          <w:p w14:paraId="3F52CEF3" w14:textId="77777777" w:rsidR="009E0437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  <w:r w:rsidRPr="001A50A4">
              <w:rPr>
                <w:rFonts w:ascii="Tahoma" w:hAnsi="Tahoma" w:cs="Tahoma"/>
              </w:rPr>
              <w:t>F</w:t>
            </w:r>
          </w:p>
        </w:tc>
      </w:tr>
      <w:tr w:rsidR="009E0437" w:rsidRPr="00125BDD" w14:paraId="13B3F0E3" w14:textId="77777777" w:rsidTr="009E0437">
        <w:trPr>
          <w:trHeight w:val="1054"/>
        </w:trPr>
        <w:tc>
          <w:tcPr>
            <w:tcW w:w="4235" w:type="dxa"/>
          </w:tcPr>
          <w:p w14:paraId="56F25089" w14:textId="77777777" w:rsidR="009E0437" w:rsidRPr="00125BDD" w:rsidRDefault="009E0437" w:rsidP="00BA5C9A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le planning de livraison des fournitures tenant lieu de délai contractuel d’exécution</w:t>
            </w:r>
          </w:p>
        </w:tc>
        <w:tc>
          <w:tcPr>
            <w:tcW w:w="1719" w:type="dxa"/>
          </w:tcPr>
          <w:p w14:paraId="2908883D" w14:textId="77777777" w:rsidR="009E0437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NF</w:t>
            </w:r>
          </w:p>
        </w:tc>
        <w:tc>
          <w:tcPr>
            <w:tcW w:w="1559" w:type="dxa"/>
          </w:tcPr>
          <w:p w14:paraId="475F584A" w14:textId="77777777" w:rsidR="009E0437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NF</w:t>
            </w:r>
          </w:p>
        </w:tc>
        <w:tc>
          <w:tcPr>
            <w:tcW w:w="2268" w:type="dxa"/>
          </w:tcPr>
          <w:p w14:paraId="2FCAD757" w14:textId="77777777" w:rsidR="009E0437" w:rsidRDefault="009E0437" w:rsidP="00BA5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NF</w:t>
            </w:r>
          </w:p>
        </w:tc>
      </w:tr>
    </w:tbl>
    <w:p w14:paraId="792CE47E" w14:textId="77777777" w:rsidR="00125BDD" w:rsidRPr="00125BDD" w:rsidRDefault="00125BDD" w:rsidP="00125BDD">
      <w:pPr>
        <w:rPr>
          <w:rFonts w:ascii="Tahoma" w:hAnsi="Tahoma" w:cs="Tahoma"/>
        </w:rPr>
      </w:pPr>
    </w:p>
    <w:p w14:paraId="4A46A02C" w14:textId="77777777" w:rsidR="00125BDD" w:rsidRPr="0056317A" w:rsidRDefault="00125BDD" w:rsidP="00125BDD">
      <w:pPr>
        <w:jc w:val="both"/>
        <w:rPr>
          <w:rFonts w:ascii="Tahoma" w:hAnsi="Tahoma" w:cs="Tahoma"/>
          <w:iCs/>
          <w:sz w:val="22"/>
          <w:szCs w:val="22"/>
        </w:rPr>
      </w:pPr>
      <w:r w:rsidRPr="0056317A">
        <w:rPr>
          <w:rFonts w:ascii="Tahoma" w:hAnsi="Tahoma" w:cs="Tahoma"/>
          <w:iCs/>
          <w:sz w:val="22"/>
          <w:szCs w:val="22"/>
        </w:rPr>
        <w:t>Lors de l’évaluation des offres, le tableau sera renseigné avec les abréviations ci-dessous :</w:t>
      </w:r>
    </w:p>
    <w:p w14:paraId="127B8F21" w14:textId="77777777" w:rsidR="00125BDD" w:rsidRPr="0056317A" w:rsidRDefault="00125BDD" w:rsidP="00125BDD">
      <w:pPr>
        <w:numPr>
          <w:ilvl w:val="0"/>
          <w:numId w:val="5"/>
        </w:numPr>
        <w:suppressAutoHyphens/>
        <w:jc w:val="both"/>
        <w:rPr>
          <w:rFonts w:ascii="Tahoma" w:hAnsi="Tahoma" w:cs="Tahoma"/>
          <w:iCs/>
          <w:sz w:val="22"/>
          <w:szCs w:val="22"/>
        </w:rPr>
      </w:pPr>
      <w:r w:rsidRPr="0056317A">
        <w:rPr>
          <w:rFonts w:ascii="Tahoma" w:hAnsi="Tahoma" w:cs="Tahoma"/>
          <w:b/>
          <w:iCs/>
          <w:sz w:val="22"/>
          <w:szCs w:val="22"/>
        </w:rPr>
        <w:t>F</w:t>
      </w:r>
      <w:r w:rsidRPr="0056317A">
        <w:rPr>
          <w:rFonts w:ascii="Tahoma" w:hAnsi="Tahoma" w:cs="Tahoma"/>
          <w:iCs/>
          <w:sz w:val="22"/>
          <w:szCs w:val="22"/>
        </w:rPr>
        <w:t>=fourni ;</w:t>
      </w:r>
    </w:p>
    <w:p w14:paraId="292EA1FB" w14:textId="77777777" w:rsidR="00125BDD" w:rsidRDefault="00125BDD" w:rsidP="00125BDD">
      <w:pPr>
        <w:numPr>
          <w:ilvl w:val="0"/>
          <w:numId w:val="5"/>
        </w:numPr>
        <w:suppressAutoHyphens/>
        <w:jc w:val="both"/>
        <w:rPr>
          <w:rFonts w:ascii="Tahoma" w:hAnsi="Tahoma" w:cs="Tahoma"/>
          <w:iCs/>
          <w:sz w:val="22"/>
          <w:szCs w:val="22"/>
        </w:rPr>
      </w:pPr>
      <w:r w:rsidRPr="0056317A">
        <w:rPr>
          <w:rFonts w:ascii="Tahoma" w:hAnsi="Tahoma" w:cs="Tahoma"/>
          <w:b/>
          <w:iCs/>
          <w:sz w:val="22"/>
          <w:szCs w:val="22"/>
        </w:rPr>
        <w:t>NF</w:t>
      </w:r>
      <w:r w:rsidRPr="0056317A">
        <w:rPr>
          <w:rFonts w:ascii="Tahoma" w:hAnsi="Tahoma" w:cs="Tahoma"/>
          <w:iCs/>
          <w:sz w:val="22"/>
          <w:szCs w:val="22"/>
        </w:rPr>
        <w:t>=non fourni ;</w:t>
      </w:r>
    </w:p>
    <w:p w14:paraId="7D08EE79" w14:textId="77777777" w:rsidR="00BA5C9A" w:rsidRPr="0056317A" w:rsidRDefault="00BA5C9A" w:rsidP="00125BDD">
      <w:pPr>
        <w:numPr>
          <w:ilvl w:val="0"/>
          <w:numId w:val="5"/>
        </w:numPr>
        <w:suppressAutoHyphens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>NC</w:t>
      </w:r>
      <w:r w:rsidRPr="00BA5C9A">
        <w:rPr>
          <w:rFonts w:ascii="Tahoma" w:hAnsi="Tahoma" w:cs="Tahoma"/>
          <w:iCs/>
          <w:sz w:val="22"/>
          <w:szCs w:val="22"/>
        </w:rPr>
        <w:t>=non conforme.</w:t>
      </w:r>
    </w:p>
    <w:p w14:paraId="5AB1A56C" w14:textId="77777777" w:rsidR="006B2443" w:rsidRDefault="006B2443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bookmarkStart w:id="3" w:name="_Toc349214821"/>
      <w:bookmarkStart w:id="4" w:name="_Toc68517195"/>
    </w:p>
    <w:p w14:paraId="6C23F7AC" w14:textId="77777777" w:rsidR="00767308" w:rsidRDefault="00767308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p w14:paraId="3AE180B7" w14:textId="77777777" w:rsidR="00125BDD" w:rsidRPr="00125BDD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r w:rsidRPr="00125BDD">
        <w:rPr>
          <w:rFonts w:ascii="Tahoma" w:hAnsi="Tahoma" w:cs="Tahoma"/>
          <w:b/>
          <w:bCs/>
        </w:rPr>
        <w:t xml:space="preserve">Tableau n°2 : Evaluation financière </w:t>
      </w:r>
      <w:bookmarkEnd w:id="3"/>
      <w:r w:rsidRPr="00125BDD">
        <w:rPr>
          <w:rFonts w:ascii="Tahoma" w:hAnsi="Tahoma" w:cs="Tahoma"/>
          <w:b/>
          <w:bCs/>
        </w:rPr>
        <w:t>des offres</w:t>
      </w:r>
      <w:bookmarkEnd w:id="4"/>
    </w:p>
    <w:tbl>
      <w:tblPr>
        <w:tblpPr w:leftFromText="141" w:rightFromText="141" w:vertAnchor="text" w:horzAnchor="margin" w:tblpXSpec="center" w:tblpY="323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268"/>
        <w:gridCol w:w="2410"/>
        <w:gridCol w:w="2339"/>
      </w:tblGrid>
      <w:tr w:rsidR="00B44295" w:rsidRPr="00125BDD" w14:paraId="0D9B61D5" w14:textId="77777777" w:rsidTr="0023410D">
        <w:trPr>
          <w:cantSplit/>
          <w:trHeight w:val="1189"/>
        </w:trPr>
        <w:tc>
          <w:tcPr>
            <w:tcW w:w="2972" w:type="dxa"/>
            <w:vMerge w:val="restart"/>
          </w:tcPr>
          <w:p w14:paraId="7813B070" w14:textId="77777777" w:rsidR="00B44295" w:rsidRPr="00125BDD" w:rsidRDefault="00B44295" w:rsidP="0051680A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2664AF3A" w14:textId="77777777" w:rsidR="00B44295" w:rsidRPr="00125BDD" w:rsidRDefault="00B44295" w:rsidP="0051680A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14:paraId="7FA30554" w14:textId="77777777" w:rsidR="00B44295" w:rsidRPr="00125BDD" w:rsidRDefault="00B44295" w:rsidP="0051680A">
            <w:pPr>
              <w:rPr>
                <w:rFonts w:ascii="Tahoma" w:hAnsi="Tahoma" w:cs="Tahoma"/>
              </w:rPr>
            </w:pPr>
          </w:p>
        </w:tc>
        <w:tc>
          <w:tcPr>
            <w:tcW w:w="7017" w:type="dxa"/>
            <w:gridSpan w:val="3"/>
          </w:tcPr>
          <w:p w14:paraId="2C106FBD" w14:textId="77777777" w:rsidR="00B44295" w:rsidRPr="00CD5EC9" w:rsidRDefault="00B44295" w:rsidP="0051680A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CD5EC9">
              <w:rPr>
                <w:rFonts w:ascii="Tahoma" w:hAnsi="Tahoma" w:cs="Tahoma"/>
                <w:b/>
                <w:bCs/>
                <w:lang w:eastAsia="ar-SA"/>
              </w:rPr>
              <w:t>Soumissionnaires</w:t>
            </w:r>
          </w:p>
        </w:tc>
      </w:tr>
      <w:tr w:rsidR="00B44295" w:rsidRPr="00447FD7" w14:paraId="52C37F8E" w14:textId="77777777" w:rsidTr="00B44295">
        <w:trPr>
          <w:cantSplit/>
          <w:trHeight w:val="546"/>
        </w:trPr>
        <w:tc>
          <w:tcPr>
            <w:tcW w:w="2972" w:type="dxa"/>
            <w:vMerge/>
          </w:tcPr>
          <w:p w14:paraId="1D04D663" w14:textId="77777777" w:rsidR="00B44295" w:rsidRPr="00125BDD" w:rsidRDefault="00B44295" w:rsidP="00B442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DA15BAB" w14:textId="77777777" w:rsidR="00B44295" w:rsidRPr="00B44295" w:rsidRDefault="00B44295" w:rsidP="00B44295">
            <w:pPr>
              <w:rPr>
                <w:rFonts w:ascii="Tahoma" w:hAnsi="Tahoma" w:cs="Tahoma"/>
                <w:b/>
                <w:bCs/>
              </w:rPr>
            </w:pPr>
            <w:r w:rsidRPr="00B44295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GLOBAL IT VISION</w:t>
            </w:r>
          </w:p>
        </w:tc>
        <w:tc>
          <w:tcPr>
            <w:tcW w:w="2410" w:type="dxa"/>
          </w:tcPr>
          <w:p w14:paraId="1246A8CF" w14:textId="77777777" w:rsidR="00B44295" w:rsidRPr="00B44295" w:rsidRDefault="00D974EF" w:rsidP="00B44295">
            <w:pPr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Picosoft</w:t>
            </w:r>
            <w:proofErr w:type="spellEnd"/>
            <w:r w:rsidR="00B44295" w:rsidRPr="00B4429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SARL</w:t>
            </w:r>
            <w:r w:rsidR="00B44295" w:rsidRPr="00B44295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2339" w:type="dxa"/>
          </w:tcPr>
          <w:p w14:paraId="3BC6C013" w14:textId="77777777" w:rsidR="00B44295" w:rsidRPr="00B44295" w:rsidRDefault="00B44295" w:rsidP="00B44295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B44295">
              <w:rPr>
                <w:rFonts w:ascii="Tahoma" w:hAnsi="Tahoma" w:cs="Tahoma"/>
                <w:b/>
                <w:bCs/>
                <w:sz w:val="22"/>
                <w:szCs w:val="22"/>
              </w:rPr>
              <w:t>Software Mangement Solutions</w:t>
            </w:r>
          </w:p>
        </w:tc>
      </w:tr>
      <w:tr w:rsidR="00B44295" w:rsidRPr="00125BDD" w14:paraId="49B5F736" w14:textId="77777777" w:rsidTr="00B44295">
        <w:trPr>
          <w:trHeight w:val="568"/>
        </w:trPr>
        <w:tc>
          <w:tcPr>
            <w:tcW w:w="2972" w:type="dxa"/>
          </w:tcPr>
          <w:p w14:paraId="31013E95" w14:textId="77777777" w:rsidR="00B44295" w:rsidRPr="00C74084" w:rsidRDefault="00B44295" w:rsidP="0051680A">
            <w:pPr>
              <w:jc w:val="both"/>
              <w:rPr>
                <w:rFonts w:ascii="Tahoma" w:hAnsi="Tahoma" w:cs="Tahoma"/>
              </w:rPr>
            </w:pPr>
          </w:p>
          <w:p w14:paraId="17CAA55C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</w:rPr>
              <w:t xml:space="preserve">Montant de l’offre lu publiquement </w:t>
            </w:r>
          </w:p>
        </w:tc>
        <w:tc>
          <w:tcPr>
            <w:tcW w:w="2268" w:type="dxa"/>
          </w:tcPr>
          <w:p w14:paraId="54367BFC" w14:textId="77777777" w:rsidR="00B44295" w:rsidRPr="00125BDD" w:rsidRDefault="0035320D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996 370,</w:t>
            </w:r>
            <w:r w:rsidR="00B44295">
              <w:rPr>
                <w:rFonts w:ascii="Tahoma" w:hAnsi="Tahoma" w:cs="Tahoma"/>
                <w:sz w:val="22"/>
                <w:szCs w:val="22"/>
              </w:rPr>
              <w:t xml:space="preserve">41 </w:t>
            </w:r>
            <w:r w:rsidR="00B44295" w:rsidRPr="00534481">
              <w:rPr>
                <w:rFonts w:ascii="Tahoma" w:hAnsi="Tahoma" w:cs="Tahoma"/>
                <w:sz w:val="22"/>
                <w:szCs w:val="22"/>
              </w:rPr>
              <w:t>MRU TTC</w:t>
            </w:r>
          </w:p>
        </w:tc>
        <w:tc>
          <w:tcPr>
            <w:tcW w:w="2410" w:type="dxa"/>
          </w:tcPr>
          <w:p w14:paraId="493F49EA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804 314,21 </w:t>
            </w:r>
            <w:r w:rsidRPr="00534481">
              <w:rPr>
                <w:rFonts w:ascii="Tahoma" w:hAnsi="Tahoma" w:cs="Tahoma"/>
                <w:sz w:val="22"/>
                <w:szCs w:val="22"/>
              </w:rPr>
              <w:t>MRU TTC</w:t>
            </w:r>
          </w:p>
        </w:tc>
        <w:tc>
          <w:tcPr>
            <w:tcW w:w="2339" w:type="dxa"/>
          </w:tcPr>
          <w:p w14:paraId="1C0367E8" w14:textId="77777777" w:rsidR="00B44295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942 774</w:t>
            </w:r>
            <w:r w:rsidRPr="00534481">
              <w:rPr>
                <w:rFonts w:ascii="Tahoma" w:hAnsi="Tahoma" w:cs="Tahoma"/>
                <w:sz w:val="22"/>
                <w:szCs w:val="22"/>
              </w:rPr>
              <w:t xml:space="preserve"> UM MRU TTC</w:t>
            </w:r>
          </w:p>
        </w:tc>
      </w:tr>
      <w:tr w:rsidR="00B44295" w:rsidRPr="00125BDD" w14:paraId="4EBEB76F" w14:textId="77777777" w:rsidTr="00B44295">
        <w:trPr>
          <w:trHeight w:val="568"/>
        </w:trPr>
        <w:tc>
          <w:tcPr>
            <w:tcW w:w="2972" w:type="dxa"/>
          </w:tcPr>
          <w:p w14:paraId="64D9BAD7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</w:p>
          <w:p w14:paraId="0FE1BD59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</w:rPr>
              <w:t xml:space="preserve">Erreur de calcul </w:t>
            </w:r>
          </w:p>
        </w:tc>
        <w:tc>
          <w:tcPr>
            <w:tcW w:w="2268" w:type="dxa"/>
          </w:tcPr>
          <w:p w14:paraId="6229C0BE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2410" w:type="dxa"/>
          </w:tcPr>
          <w:p w14:paraId="76D428D0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2339" w:type="dxa"/>
          </w:tcPr>
          <w:p w14:paraId="442EB411" w14:textId="77777777" w:rsidR="00B44295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B44295" w:rsidRPr="00125BDD" w14:paraId="4894BC34" w14:textId="77777777" w:rsidTr="00B44295">
        <w:trPr>
          <w:trHeight w:val="568"/>
        </w:trPr>
        <w:tc>
          <w:tcPr>
            <w:tcW w:w="2972" w:type="dxa"/>
          </w:tcPr>
          <w:p w14:paraId="058FED34" w14:textId="77777777" w:rsidR="00B44295" w:rsidRDefault="00B44295" w:rsidP="0051680A">
            <w:pPr>
              <w:jc w:val="center"/>
              <w:rPr>
                <w:rFonts w:ascii="Tahoma" w:hAnsi="Tahoma" w:cs="Tahoma"/>
              </w:rPr>
            </w:pPr>
          </w:p>
          <w:p w14:paraId="7D8B8920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</w:rPr>
              <w:t>Montant</w:t>
            </w:r>
            <w:r>
              <w:rPr>
                <w:rFonts w:ascii="Tahoma" w:hAnsi="Tahoma" w:cs="Tahoma"/>
              </w:rPr>
              <w:t>s</w:t>
            </w:r>
            <w:r w:rsidRPr="00125BDD">
              <w:rPr>
                <w:rFonts w:ascii="Tahoma" w:hAnsi="Tahoma" w:cs="Tahoma"/>
              </w:rPr>
              <w:t xml:space="preserve"> corrigé</w:t>
            </w:r>
            <w:r>
              <w:rPr>
                <w:rFonts w:ascii="Tahoma" w:hAnsi="Tahoma" w:cs="Tahoma"/>
              </w:rPr>
              <w:t xml:space="preserve">s </w:t>
            </w:r>
          </w:p>
        </w:tc>
        <w:tc>
          <w:tcPr>
            <w:tcW w:w="2268" w:type="dxa"/>
          </w:tcPr>
          <w:p w14:paraId="6D189B64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996 370.41</w:t>
            </w:r>
            <w:r w:rsidRPr="00534481">
              <w:rPr>
                <w:rFonts w:ascii="Tahoma" w:hAnsi="Tahoma" w:cs="Tahoma"/>
                <w:sz w:val="22"/>
                <w:szCs w:val="22"/>
              </w:rPr>
              <w:t xml:space="preserve"> MRU TTC</w:t>
            </w:r>
          </w:p>
        </w:tc>
        <w:tc>
          <w:tcPr>
            <w:tcW w:w="2410" w:type="dxa"/>
          </w:tcPr>
          <w:p w14:paraId="640E3473" w14:textId="77777777" w:rsidR="00B44295" w:rsidRPr="00125BDD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804 314,21 </w:t>
            </w:r>
            <w:r w:rsidRPr="00534481">
              <w:rPr>
                <w:rFonts w:ascii="Tahoma" w:hAnsi="Tahoma" w:cs="Tahoma"/>
                <w:sz w:val="22"/>
                <w:szCs w:val="22"/>
              </w:rPr>
              <w:t>MRU TTC</w:t>
            </w:r>
          </w:p>
        </w:tc>
        <w:tc>
          <w:tcPr>
            <w:tcW w:w="2339" w:type="dxa"/>
          </w:tcPr>
          <w:p w14:paraId="0FFF19FD" w14:textId="77777777" w:rsidR="00B44295" w:rsidRDefault="00B44295" w:rsidP="0051680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942 774</w:t>
            </w:r>
            <w:r w:rsidRPr="00534481">
              <w:rPr>
                <w:rFonts w:ascii="Tahoma" w:hAnsi="Tahoma" w:cs="Tahoma"/>
                <w:sz w:val="22"/>
                <w:szCs w:val="22"/>
              </w:rPr>
              <w:t xml:space="preserve"> UM MRU TTC</w:t>
            </w:r>
          </w:p>
        </w:tc>
      </w:tr>
    </w:tbl>
    <w:p w14:paraId="0D04E0B3" w14:textId="77777777" w:rsidR="00125BDD" w:rsidRPr="00125BDD" w:rsidRDefault="00125BDD" w:rsidP="00125BDD">
      <w:pPr>
        <w:rPr>
          <w:rFonts w:ascii="Tahoma" w:hAnsi="Tahoma" w:cs="Tahoma"/>
        </w:rPr>
      </w:pPr>
    </w:p>
    <w:p w14:paraId="0F2CE349" w14:textId="77777777" w:rsidR="00125BDD" w:rsidRPr="00125BDD" w:rsidRDefault="00125BDD" w:rsidP="00125BDD">
      <w:pPr>
        <w:rPr>
          <w:rFonts w:ascii="Tahoma" w:hAnsi="Tahoma" w:cs="Tahoma"/>
        </w:rPr>
      </w:pPr>
    </w:p>
    <w:p w14:paraId="48181A19" w14:textId="77777777" w:rsidR="00125BDD" w:rsidRPr="00125BDD" w:rsidRDefault="00125BDD" w:rsidP="00125BDD">
      <w:pPr>
        <w:rPr>
          <w:rFonts w:ascii="Tahoma" w:hAnsi="Tahoma" w:cs="Tahoma"/>
        </w:rPr>
      </w:pPr>
    </w:p>
    <w:p w14:paraId="5FADFBDC" w14:textId="77777777" w:rsidR="00125BDD" w:rsidRPr="00125BDD" w:rsidRDefault="00125BDD" w:rsidP="00125BDD">
      <w:pPr>
        <w:rPr>
          <w:rFonts w:ascii="Tahoma" w:hAnsi="Tahoma" w:cs="Tahoma"/>
        </w:rPr>
      </w:pPr>
    </w:p>
    <w:p w14:paraId="30A40B67" w14:textId="77777777" w:rsidR="00125BDD" w:rsidRPr="00125BDD" w:rsidRDefault="00125BDD" w:rsidP="00125BDD">
      <w:pPr>
        <w:rPr>
          <w:rFonts w:ascii="Tahoma" w:hAnsi="Tahoma" w:cs="Tahoma"/>
        </w:rPr>
      </w:pPr>
    </w:p>
    <w:p w14:paraId="20563826" w14:textId="77777777" w:rsidR="00125BDD" w:rsidRPr="00125BDD" w:rsidRDefault="00125BDD" w:rsidP="00125BDD">
      <w:pPr>
        <w:rPr>
          <w:rFonts w:ascii="Tahoma" w:hAnsi="Tahoma" w:cs="Tahoma"/>
        </w:rPr>
      </w:pPr>
    </w:p>
    <w:p w14:paraId="26B4D975" w14:textId="77777777" w:rsidR="00125BDD" w:rsidRPr="00125BDD" w:rsidRDefault="00125BDD" w:rsidP="00125BDD">
      <w:pPr>
        <w:rPr>
          <w:rFonts w:ascii="Tahoma" w:hAnsi="Tahoma" w:cs="Tahoma"/>
        </w:rPr>
      </w:pPr>
    </w:p>
    <w:p w14:paraId="03071435" w14:textId="77777777" w:rsidR="00125BDD" w:rsidRPr="00125BDD" w:rsidRDefault="00125BDD" w:rsidP="00125BDD">
      <w:pPr>
        <w:rPr>
          <w:rFonts w:ascii="Tahoma" w:hAnsi="Tahoma" w:cs="Tahoma"/>
        </w:rPr>
      </w:pPr>
    </w:p>
    <w:p w14:paraId="419ED94B" w14:textId="77777777" w:rsidR="00125BDD" w:rsidRPr="00125BDD" w:rsidRDefault="00125BDD" w:rsidP="00125BDD">
      <w:pPr>
        <w:rPr>
          <w:rFonts w:ascii="Tahoma" w:hAnsi="Tahoma" w:cs="Tahoma"/>
        </w:rPr>
      </w:pPr>
    </w:p>
    <w:p w14:paraId="0602FA41" w14:textId="77777777" w:rsidR="00125BDD" w:rsidRPr="00125BDD" w:rsidRDefault="00125BDD" w:rsidP="00125BDD">
      <w:pPr>
        <w:rPr>
          <w:rFonts w:ascii="Tahoma" w:hAnsi="Tahoma" w:cs="Tahoma"/>
        </w:rPr>
      </w:pPr>
    </w:p>
    <w:p w14:paraId="3B47383A" w14:textId="77777777" w:rsidR="00125BDD" w:rsidRPr="00125BDD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  <w:u w:val="single"/>
        </w:rPr>
        <w:sectPr w:rsidR="00125BDD" w:rsidRPr="00125BDD" w:rsidSect="0061095C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  <w:bookmarkStart w:id="5" w:name="_Toc349214822"/>
    </w:p>
    <w:p w14:paraId="3644CDC8" w14:textId="77777777" w:rsidR="00125BDD" w:rsidRPr="00125BDD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  <w:u w:val="single"/>
        </w:rPr>
      </w:pPr>
      <w:bookmarkStart w:id="6" w:name="_Toc68517196"/>
      <w:r w:rsidRPr="00125BDD">
        <w:rPr>
          <w:rFonts w:ascii="Tahoma" w:hAnsi="Tahoma" w:cs="Tahoma"/>
          <w:b/>
          <w:bCs/>
          <w:u w:val="single"/>
        </w:rPr>
        <w:lastRenderedPageBreak/>
        <w:t xml:space="preserve">Tableau n°3 : Classement des offres et </w:t>
      </w:r>
      <w:r w:rsidR="00BB3560">
        <w:rPr>
          <w:rFonts w:ascii="Tahoma" w:hAnsi="Tahoma" w:cs="Tahoma"/>
          <w:b/>
          <w:bCs/>
          <w:u w:val="single"/>
        </w:rPr>
        <w:t>proposition d’</w:t>
      </w:r>
      <w:r w:rsidRPr="00125BDD">
        <w:rPr>
          <w:rFonts w:ascii="Tahoma" w:hAnsi="Tahoma" w:cs="Tahoma"/>
          <w:b/>
          <w:bCs/>
          <w:u w:val="single"/>
        </w:rPr>
        <w:t>attribution</w:t>
      </w:r>
      <w:bookmarkEnd w:id="5"/>
      <w:bookmarkEnd w:id="6"/>
    </w:p>
    <w:p w14:paraId="08973ACA" w14:textId="77777777" w:rsidR="00125BDD" w:rsidRPr="00125BDD" w:rsidRDefault="00125BDD" w:rsidP="00125BDD">
      <w:pPr>
        <w:jc w:val="both"/>
        <w:rPr>
          <w:rFonts w:ascii="Tahoma" w:hAnsi="Tahoma" w:cs="Tahoma"/>
        </w:rPr>
      </w:pPr>
    </w:p>
    <w:tbl>
      <w:tblPr>
        <w:tblW w:w="9635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06"/>
        <w:gridCol w:w="2551"/>
        <w:gridCol w:w="851"/>
        <w:gridCol w:w="1559"/>
      </w:tblGrid>
      <w:tr w:rsidR="00125BDD" w:rsidRPr="00125BDD" w14:paraId="7FDA13CF" w14:textId="77777777" w:rsidTr="00AF283C">
        <w:trPr>
          <w:trHeight w:val="641"/>
        </w:trPr>
        <w:tc>
          <w:tcPr>
            <w:tcW w:w="2268" w:type="dxa"/>
          </w:tcPr>
          <w:p w14:paraId="2CB715A6" w14:textId="77777777" w:rsidR="00125BDD" w:rsidRPr="00125BDD" w:rsidRDefault="00125BDD" w:rsidP="004C608D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06C658F9" w14:textId="77777777" w:rsidR="00125BDD" w:rsidRPr="00125BDD" w:rsidRDefault="00125BDD" w:rsidP="004C608D">
            <w:pPr>
              <w:jc w:val="both"/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  <w:b/>
                <w:bCs/>
              </w:rPr>
              <w:t>Soumissionnaires</w:t>
            </w:r>
          </w:p>
        </w:tc>
        <w:tc>
          <w:tcPr>
            <w:tcW w:w="2406" w:type="dxa"/>
            <w:vAlign w:val="center"/>
          </w:tcPr>
          <w:p w14:paraId="02500FDE" w14:textId="77777777" w:rsidR="00125BDD" w:rsidRPr="00125BDD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547D6F18" w14:textId="77777777" w:rsidR="00125BDD" w:rsidRPr="00125BDD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25BDD">
              <w:rPr>
                <w:rFonts w:ascii="Tahoma" w:hAnsi="Tahoma" w:cs="Tahoma"/>
                <w:b/>
                <w:bCs/>
              </w:rPr>
              <w:t>Montant de l’offre lu publiquement</w:t>
            </w:r>
          </w:p>
          <w:p w14:paraId="6B1BD571" w14:textId="77777777" w:rsidR="00125BDD" w:rsidRPr="00125BDD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1" w:type="dxa"/>
          </w:tcPr>
          <w:p w14:paraId="25D84C35" w14:textId="77777777" w:rsidR="00125BDD" w:rsidRPr="00125BDD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25BDD">
              <w:rPr>
                <w:rFonts w:ascii="Tahoma" w:hAnsi="Tahoma" w:cs="Tahoma"/>
                <w:b/>
                <w:bCs/>
              </w:rPr>
              <w:t>Montant corrigé de l’offre</w:t>
            </w:r>
          </w:p>
        </w:tc>
        <w:tc>
          <w:tcPr>
            <w:tcW w:w="851" w:type="dxa"/>
            <w:vAlign w:val="center"/>
          </w:tcPr>
          <w:p w14:paraId="75F06657" w14:textId="77777777" w:rsidR="00125BDD" w:rsidRPr="00125BDD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25BDD">
              <w:rPr>
                <w:rFonts w:ascii="Tahoma" w:hAnsi="Tahoma" w:cs="Tahoma"/>
                <w:b/>
                <w:bCs/>
              </w:rPr>
              <w:t>Rang</w:t>
            </w:r>
          </w:p>
        </w:tc>
        <w:tc>
          <w:tcPr>
            <w:tcW w:w="1559" w:type="dxa"/>
            <w:vAlign w:val="center"/>
          </w:tcPr>
          <w:p w14:paraId="229316B0" w14:textId="77777777" w:rsidR="00125BDD" w:rsidRPr="00125BDD" w:rsidRDefault="00125BDD" w:rsidP="004C608D">
            <w:pPr>
              <w:jc w:val="center"/>
              <w:rPr>
                <w:rFonts w:ascii="Tahoma" w:hAnsi="Tahoma" w:cs="Tahoma"/>
              </w:rPr>
            </w:pPr>
            <w:r w:rsidRPr="00125BDD">
              <w:rPr>
                <w:rFonts w:ascii="Tahoma" w:hAnsi="Tahoma" w:cs="Tahoma"/>
                <w:b/>
                <w:bCs/>
              </w:rPr>
              <w:t>Attributaire</w:t>
            </w:r>
          </w:p>
        </w:tc>
      </w:tr>
      <w:tr w:rsidR="00F34B01" w:rsidRPr="00125BDD" w14:paraId="4D829F39" w14:textId="77777777" w:rsidTr="00AF283C">
        <w:trPr>
          <w:trHeight w:val="215"/>
        </w:trPr>
        <w:tc>
          <w:tcPr>
            <w:tcW w:w="2268" w:type="dxa"/>
          </w:tcPr>
          <w:p w14:paraId="6C36DD0A" w14:textId="77777777" w:rsidR="00F34B01" w:rsidRPr="000C4870" w:rsidRDefault="00AF283C" w:rsidP="00F34B01">
            <w:pPr>
              <w:jc w:val="center"/>
              <w:rPr>
                <w:rFonts w:ascii="Tahoma" w:hAnsi="Tahoma" w:cs="Tahoma"/>
                <w:b/>
              </w:rPr>
            </w:pPr>
            <w:r w:rsidRPr="00B44295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GLOBAL IT VISION</w:t>
            </w:r>
          </w:p>
        </w:tc>
        <w:tc>
          <w:tcPr>
            <w:tcW w:w="2406" w:type="dxa"/>
          </w:tcPr>
          <w:p w14:paraId="0FCAB7C1" w14:textId="77777777" w:rsidR="00F34B01" w:rsidRPr="00125BDD" w:rsidRDefault="0035320D" w:rsidP="00F34B0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996 370,</w:t>
            </w:r>
            <w:r w:rsidR="00AF283C">
              <w:rPr>
                <w:rFonts w:ascii="Tahoma" w:hAnsi="Tahoma" w:cs="Tahoma"/>
                <w:sz w:val="22"/>
                <w:szCs w:val="22"/>
              </w:rPr>
              <w:t xml:space="preserve">41 </w:t>
            </w:r>
            <w:r w:rsidR="00AF283C" w:rsidRPr="00534481">
              <w:rPr>
                <w:rFonts w:ascii="Tahoma" w:hAnsi="Tahoma" w:cs="Tahoma"/>
                <w:sz w:val="22"/>
                <w:szCs w:val="22"/>
              </w:rPr>
              <w:t>MRU TTC</w:t>
            </w:r>
          </w:p>
        </w:tc>
        <w:tc>
          <w:tcPr>
            <w:tcW w:w="2551" w:type="dxa"/>
          </w:tcPr>
          <w:p w14:paraId="6EF828F9" w14:textId="77777777" w:rsidR="00F34B01" w:rsidRPr="00125BDD" w:rsidRDefault="0035320D" w:rsidP="00F34B0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996 370,</w:t>
            </w:r>
            <w:r w:rsidR="00AF283C">
              <w:rPr>
                <w:rFonts w:ascii="Tahoma" w:hAnsi="Tahoma" w:cs="Tahoma"/>
                <w:sz w:val="22"/>
                <w:szCs w:val="22"/>
              </w:rPr>
              <w:t xml:space="preserve">41 </w:t>
            </w:r>
            <w:r w:rsidR="00AF283C" w:rsidRPr="00534481">
              <w:rPr>
                <w:rFonts w:ascii="Tahoma" w:hAnsi="Tahoma" w:cs="Tahoma"/>
                <w:sz w:val="22"/>
                <w:szCs w:val="22"/>
              </w:rPr>
              <w:t>MRU TTC</w:t>
            </w:r>
          </w:p>
        </w:tc>
        <w:tc>
          <w:tcPr>
            <w:tcW w:w="851" w:type="dxa"/>
          </w:tcPr>
          <w:p w14:paraId="4148CBB2" w14:textId="77777777" w:rsidR="00F34B01" w:rsidRPr="00125BDD" w:rsidRDefault="00AF283C" w:rsidP="00F34B0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59" w:type="dxa"/>
          </w:tcPr>
          <w:p w14:paraId="20BB5398" w14:textId="77777777" w:rsidR="00F34B01" w:rsidRPr="00125BDD" w:rsidRDefault="00F34B01" w:rsidP="00F34B01">
            <w:pPr>
              <w:jc w:val="both"/>
              <w:rPr>
                <w:rFonts w:ascii="Tahoma" w:hAnsi="Tahoma" w:cs="Tahoma"/>
              </w:rPr>
            </w:pPr>
          </w:p>
        </w:tc>
      </w:tr>
      <w:tr w:rsidR="006F295E" w:rsidRPr="00125BDD" w14:paraId="5CC2AD88" w14:textId="77777777" w:rsidTr="00AF283C">
        <w:trPr>
          <w:trHeight w:val="215"/>
        </w:trPr>
        <w:tc>
          <w:tcPr>
            <w:tcW w:w="2268" w:type="dxa"/>
          </w:tcPr>
          <w:p w14:paraId="27231F9B" w14:textId="77777777" w:rsidR="006F295E" w:rsidRPr="000C4870" w:rsidRDefault="00D974EF" w:rsidP="006F295E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Picosoft</w:t>
            </w:r>
            <w:proofErr w:type="spellEnd"/>
            <w:r w:rsidR="00AF283C" w:rsidRPr="00B4429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SARL</w:t>
            </w:r>
            <w:r w:rsidR="00AF283C" w:rsidRPr="00B44295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2406" w:type="dxa"/>
          </w:tcPr>
          <w:p w14:paraId="0980453E" w14:textId="77777777" w:rsidR="006F295E" w:rsidRDefault="00AF283C" w:rsidP="006F295E">
            <w:r>
              <w:rPr>
                <w:rFonts w:ascii="Tahoma" w:hAnsi="Tahoma" w:cs="Tahoma"/>
                <w:sz w:val="22"/>
                <w:szCs w:val="22"/>
              </w:rPr>
              <w:t xml:space="preserve">804 314,21 </w:t>
            </w:r>
            <w:r w:rsidRPr="00534481">
              <w:rPr>
                <w:rFonts w:ascii="Tahoma" w:hAnsi="Tahoma" w:cs="Tahoma"/>
                <w:sz w:val="22"/>
                <w:szCs w:val="22"/>
              </w:rPr>
              <w:t>MRU TTC</w:t>
            </w:r>
          </w:p>
        </w:tc>
        <w:tc>
          <w:tcPr>
            <w:tcW w:w="2551" w:type="dxa"/>
          </w:tcPr>
          <w:p w14:paraId="18ED1D63" w14:textId="77777777" w:rsidR="006F295E" w:rsidRDefault="00AF283C" w:rsidP="006F295E">
            <w:r>
              <w:rPr>
                <w:rFonts w:ascii="Tahoma" w:hAnsi="Tahoma" w:cs="Tahoma"/>
                <w:sz w:val="22"/>
                <w:szCs w:val="22"/>
              </w:rPr>
              <w:t xml:space="preserve">804 314,21 </w:t>
            </w:r>
            <w:r w:rsidRPr="00534481">
              <w:rPr>
                <w:rFonts w:ascii="Tahoma" w:hAnsi="Tahoma" w:cs="Tahoma"/>
                <w:sz w:val="22"/>
                <w:szCs w:val="22"/>
              </w:rPr>
              <w:t>MRU TTC</w:t>
            </w:r>
          </w:p>
        </w:tc>
        <w:tc>
          <w:tcPr>
            <w:tcW w:w="851" w:type="dxa"/>
          </w:tcPr>
          <w:p w14:paraId="5B8D2BD7" w14:textId="77777777" w:rsidR="006F295E" w:rsidRPr="00125BDD" w:rsidRDefault="006F295E" w:rsidP="006F295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</w:tcPr>
          <w:p w14:paraId="51D7BEE1" w14:textId="77777777" w:rsidR="006F295E" w:rsidRPr="00125BDD" w:rsidRDefault="006F295E" w:rsidP="006F295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X</w:t>
            </w:r>
          </w:p>
        </w:tc>
      </w:tr>
      <w:tr w:rsidR="00F83F96" w:rsidRPr="00125BDD" w14:paraId="64A002F4" w14:textId="77777777" w:rsidTr="00AF283C">
        <w:trPr>
          <w:trHeight w:val="215"/>
        </w:trPr>
        <w:tc>
          <w:tcPr>
            <w:tcW w:w="2268" w:type="dxa"/>
          </w:tcPr>
          <w:p w14:paraId="3388148C" w14:textId="77777777" w:rsidR="00F83F96" w:rsidRDefault="00AF283C" w:rsidP="006F295E">
            <w:pPr>
              <w:jc w:val="center"/>
              <w:rPr>
                <w:rFonts w:ascii="Tahoma" w:hAnsi="Tahoma" w:cs="Tahoma"/>
                <w:b/>
              </w:rPr>
            </w:pPr>
            <w:r w:rsidRPr="00B44295">
              <w:rPr>
                <w:rFonts w:ascii="Tahoma" w:hAnsi="Tahoma" w:cs="Tahoma"/>
                <w:b/>
                <w:bCs/>
                <w:sz w:val="22"/>
                <w:szCs w:val="22"/>
              </w:rPr>
              <w:t>Software Mangement Solutions</w:t>
            </w:r>
          </w:p>
        </w:tc>
        <w:tc>
          <w:tcPr>
            <w:tcW w:w="2406" w:type="dxa"/>
          </w:tcPr>
          <w:p w14:paraId="0689060C" w14:textId="77777777" w:rsidR="00F83F96" w:rsidRPr="000C77FB" w:rsidRDefault="00AF283C" w:rsidP="006F29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942 774</w:t>
            </w:r>
            <w:r w:rsidRPr="00534481">
              <w:rPr>
                <w:rFonts w:ascii="Tahoma" w:hAnsi="Tahoma" w:cs="Tahoma"/>
                <w:sz w:val="22"/>
                <w:szCs w:val="22"/>
              </w:rPr>
              <w:t xml:space="preserve"> UM MRU TTC</w:t>
            </w:r>
          </w:p>
        </w:tc>
        <w:tc>
          <w:tcPr>
            <w:tcW w:w="2551" w:type="dxa"/>
          </w:tcPr>
          <w:p w14:paraId="51B99CE7" w14:textId="77777777" w:rsidR="00F83F96" w:rsidRPr="000C77FB" w:rsidRDefault="00AF283C" w:rsidP="006F29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942 774</w:t>
            </w:r>
            <w:r w:rsidRPr="00534481">
              <w:rPr>
                <w:rFonts w:ascii="Tahoma" w:hAnsi="Tahoma" w:cs="Tahoma"/>
                <w:sz w:val="22"/>
                <w:szCs w:val="22"/>
              </w:rPr>
              <w:t xml:space="preserve"> UM MRU TTC</w:t>
            </w:r>
          </w:p>
        </w:tc>
        <w:tc>
          <w:tcPr>
            <w:tcW w:w="851" w:type="dxa"/>
          </w:tcPr>
          <w:p w14:paraId="58C519A4" w14:textId="77777777" w:rsidR="00F83F96" w:rsidRDefault="00AF283C" w:rsidP="006F295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559" w:type="dxa"/>
          </w:tcPr>
          <w:p w14:paraId="1C758C9C" w14:textId="77777777" w:rsidR="00F83F96" w:rsidRDefault="00F83F96" w:rsidP="006F295E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99E3303" w14:textId="77777777" w:rsidR="00125BDD" w:rsidRPr="00125BDD" w:rsidRDefault="00125BDD" w:rsidP="00125BDD">
      <w:pPr>
        <w:rPr>
          <w:rFonts w:ascii="Tahoma" w:hAnsi="Tahoma" w:cs="Tahoma"/>
        </w:rPr>
      </w:pPr>
    </w:p>
    <w:p w14:paraId="7517FB43" w14:textId="77777777" w:rsidR="00125BDD" w:rsidRPr="00125BDD" w:rsidRDefault="00125BDD" w:rsidP="00125BDD">
      <w:pPr>
        <w:rPr>
          <w:rFonts w:ascii="Tahoma" w:hAnsi="Tahoma" w:cs="Tahoma"/>
        </w:rPr>
      </w:pPr>
    </w:p>
    <w:p w14:paraId="340F3F3D" w14:textId="77777777" w:rsidR="00987BE8" w:rsidRPr="00125BDD" w:rsidRDefault="00987BE8">
      <w:pPr>
        <w:rPr>
          <w:rFonts w:ascii="Tahoma" w:hAnsi="Tahoma" w:cs="Tahoma"/>
        </w:rPr>
      </w:pPr>
    </w:p>
    <w:sectPr w:rsidR="00987BE8" w:rsidRPr="00125BDD" w:rsidSect="0061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97DA" w14:textId="77777777" w:rsidR="0061095C" w:rsidRDefault="0061095C" w:rsidP="000A2EF9">
      <w:r>
        <w:separator/>
      </w:r>
    </w:p>
  </w:endnote>
  <w:endnote w:type="continuationSeparator" w:id="0">
    <w:p w14:paraId="74EAF316" w14:textId="77777777" w:rsidR="0061095C" w:rsidRDefault="0061095C" w:rsidP="000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1829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230ECA" w14:textId="77777777" w:rsidR="006F14A1" w:rsidRDefault="006F14A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01E5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01E5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FB42B5" w14:textId="77777777" w:rsidR="006F14A1" w:rsidRDefault="006F14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7377" w14:textId="77777777" w:rsidR="0061095C" w:rsidRDefault="0061095C" w:rsidP="000A2EF9">
      <w:r>
        <w:separator/>
      </w:r>
    </w:p>
  </w:footnote>
  <w:footnote w:type="continuationSeparator" w:id="0">
    <w:p w14:paraId="76F98DB8" w14:textId="77777777" w:rsidR="0061095C" w:rsidRDefault="0061095C" w:rsidP="000A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ECD"/>
    <w:multiLevelType w:val="hybridMultilevel"/>
    <w:tmpl w:val="4BE62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705D"/>
    <w:multiLevelType w:val="hybridMultilevel"/>
    <w:tmpl w:val="EF2850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34C73"/>
    <w:multiLevelType w:val="hybridMultilevel"/>
    <w:tmpl w:val="C7EAE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16E4"/>
    <w:multiLevelType w:val="hybridMultilevel"/>
    <w:tmpl w:val="9FD40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A57"/>
    <w:multiLevelType w:val="hybridMultilevel"/>
    <w:tmpl w:val="B352F276"/>
    <w:lvl w:ilvl="0" w:tplc="5D3C6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E041B"/>
    <w:multiLevelType w:val="hybridMultilevel"/>
    <w:tmpl w:val="54D4C2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21CF"/>
    <w:multiLevelType w:val="hybridMultilevel"/>
    <w:tmpl w:val="9FD40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83523"/>
    <w:multiLevelType w:val="hybridMultilevel"/>
    <w:tmpl w:val="936ABA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45DC0"/>
    <w:multiLevelType w:val="hybridMultilevel"/>
    <w:tmpl w:val="9BA20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2629"/>
    <w:multiLevelType w:val="hybridMultilevel"/>
    <w:tmpl w:val="639238F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359D9"/>
    <w:multiLevelType w:val="hybridMultilevel"/>
    <w:tmpl w:val="B352F276"/>
    <w:lvl w:ilvl="0" w:tplc="5D3C6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5053C"/>
    <w:multiLevelType w:val="hybridMultilevel"/>
    <w:tmpl w:val="E04EBB22"/>
    <w:lvl w:ilvl="0" w:tplc="61D495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476448"/>
    <w:multiLevelType w:val="hybridMultilevel"/>
    <w:tmpl w:val="DFC044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D2162"/>
    <w:multiLevelType w:val="hybridMultilevel"/>
    <w:tmpl w:val="EFF8889E"/>
    <w:lvl w:ilvl="0" w:tplc="8D5EE32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Theme="majorBidi" w:eastAsia="Times New Roman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FE049F"/>
    <w:multiLevelType w:val="hybridMultilevel"/>
    <w:tmpl w:val="06A08DFA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973073"/>
    <w:multiLevelType w:val="hybridMultilevel"/>
    <w:tmpl w:val="882A3820"/>
    <w:lvl w:ilvl="0" w:tplc="2F6459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427BD"/>
    <w:multiLevelType w:val="hybridMultilevel"/>
    <w:tmpl w:val="1F5EAB26"/>
    <w:lvl w:ilvl="0" w:tplc="293C317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B76D8D"/>
    <w:multiLevelType w:val="hybridMultilevel"/>
    <w:tmpl w:val="F8A67ABC"/>
    <w:lvl w:ilvl="0" w:tplc="1FBE3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25951">
    <w:abstractNumId w:val="15"/>
  </w:num>
  <w:num w:numId="2" w16cid:durableId="1377042786">
    <w:abstractNumId w:val="17"/>
  </w:num>
  <w:num w:numId="3" w16cid:durableId="2021665711">
    <w:abstractNumId w:val="16"/>
  </w:num>
  <w:num w:numId="4" w16cid:durableId="521020580">
    <w:abstractNumId w:val="13"/>
  </w:num>
  <w:num w:numId="5" w16cid:durableId="784152291">
    <w:abstractNumId w:val="12"/>
  </w:num>
  <w:num w:numId="6" w16cid:durableId="1319919492">
    <w:abstractNumId w:val="11"/>
  </w:num>
  <w:num w:numId="7" w16cid:durableId="988559237">
    <w:abstractNumId w:val="0"/>
  </w:num>
  <w:num w:numId="8" w16cid:durableId="1926842049">
    <w:abstractNumId w:val="7"/>
  </w:num>
  <w:num w:numId="9" w16cid:durableId="475146795">
    <w:abstractNumId w:val="14"/>
  </w:num>
  <w:num w:numId="10" w16cid:durableId="1800493859">
    <w:abstractNumId w:val="5"/>
  </w:num>
  <w:num w:numId="11" w16cid:durableId="1496022169">
    <w:abstractNumId w:val="8"/>
  </w:num>
  <w:num w:numId="12" w16cid:durableId="240263279">
    <w:abstractNumId w:val="9"/>
  </w:num>
  <w:num w:numId="13" w16cid:durableId="255603747">
    <w:abstractNumId w:val="2"/>
  </w:num>
  <w:num w:numId="14" w16cid:durableId="909467012">
    <w:abstractNumId w:val="10"/>
  </w:num>
  <w:num w:numId="15" w16cid:durableId="1293439349">
    <w:abstractNumId w:val="6"/>
  </w:num>
  <w:num w:numId="16" w16cid:durableId="657462075">
    <w:abstractNumId w:val="3"/>
  </w:num>
  <w:num w:numId="17" w16cid:durableId="848981663">
    <w:abstractNumId w:val="1"/>
  </w:num>
  <w:num w:numId="18" w16cid:durableId="555161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DD"/>
    <w:rsid w:val="00052D6F"/>
    <w:rsid w:val="00053B86"/>
    <w:rsid w:val="000811AE"/>
    <w:rsid w:val="000A2E5F"/>
    <w:rsid w:val="000A2EF9"/>
    <w:rsid w:val="000C4870"/>
    <w:rsid w:val="000D7C56"/>
    <w:rsid w:val="00101E52"/>
    <w:rsid w:val="001029B5"/>
    <w:rsid w:val="001048C6"/>
    <w:rsid w:val="00104EE2"/>
    <w:rsid w:val="00123DC1"/>
    <w:rsid w:val="00125BDD"/>
    <w:rsid w:val="00131CC5"/>
    <w:rsid w:val="00151237"/>
    <w:rsid w:val="00182D8B"/>
    <w:rsid w:val="001F22D7"/>
    <w:rsid w:val="001F64A6"/>
    <w:rsid w:val="00203225"/>
    <w:rsid w:val="00203EEA"/>
    <w:rsid w:val="0020433A"/>
    <w:rsid w:val="00225A0C"/>
    <w:rsid w:val="00241157"/>
    <w:rsid w:val="00260924"/>
    <w:rsid w:val="00280AB0"/>
    <w:rsid w:val="002817AE"/>
    <w:rsid w:val="002829B3"/>
    <w:rsid w:val="002860E8"/>
    <w:rsid w:val="00307BA1"/>
    <w:rsid w:val="00312014"/>
    <w:rsid w:val="00313603"/>
    <w:rsid w:val="003504F9"/>
    <w:rsid w:val="0035320D"/>
    <w:rsid w:val="003641DC"/>
    <w:rsid w:val="00366D76"/>
    <w:rsid w:val="003A5BCB"/>
    <w:rsid w:val="00447FD7"/>
    <w:rsid w:val="00451478"/>
    <w:rsid w:val="004556A1"/>
    <w:rsid w:val="00464933"/>
    <w:rsid w:val="00471533"/>
    <w:rsid w:val="00490E19"/>
    <w:rsid w:val="004B0917"/>
    <w:rsid w:val="004C617C"/>
    <w:rsid w:val="004E3D54"/>
    <w:rsid w:val="0051680A"/>
    <w:rsid w:val="00541A02"/>
    <w:rsid w:val="0056317A"/>
    <w:rsid w:val="00564CA6"/>
    <w:rsid w:val="00577F0E"/>
    <w:rsid w:val="00581F39"/>
    <w:rsid w:val="005A5C42"/>
    <w:rsid w:val="005C00CE"/>
    <w:rsid w:val="00602E96"/>
    <w:rsid w:val="0061095C"/>
    <w:rsid w:val="00617876"/>
    <w:rsid w:val="00644205"/>
    <w:rsid w:val="00653B23"/>
    <w:rsid w:val="006A3F63"/>
    <w:rsid w:val="006B2443"/>
    <w:rsid w:val="006C6E2C"/>
    <w:rsid w:val="006F14A1"/>
    <w:rsid w:val="006F295E"/>
    <w:rsid w:val="00706C69"/>
    <w:rsid w:val="00714FCB"/>
    <w:rsid w:val="00726673"/>
    <w:rsid w:val="00757BB3"/>
    <w:rsid w:val="00767308"/>
    <w:rsid w:val="00773C5B"/>
    <w:rsid w:val="007B3839"/>
    <w:rsid w:val="007B53D1"/>
    <w:rsid w:val="007B667A"/>
    <w:rsid w:val="007D58B2"/>
    <w:rsid w:val="007E0307"/>
    <w:rsid w:val="007F5B6D"/>
    <w:rsid w:val="007F69B9"/>
    <w:rsid w:val="00800EE9"/>
    <w:rsid w:val="0080728F"/>
    <w:rsid w:val="00814B66"/>
    <w:rsid w:val="008528B9"/>
    <w:rsid w:val="00856B33"/>
    <w:rsid w:val="0087446F"/>
    <w:rsid w:val="008876CA"/>
    <w:rsid w:val="0089142C"/>
    <w:rsid w:val="00896B10"/>
    <w:rsid w:val="008B40C2"/>
    <w:rsid w:val="008E7BE9"/>
    <w:rsid w:val="00914076"/>
    <w:rsid w:val="00943867"/>
    <w:rsid w:val="009440C0"/>
    <w:rsid w:val="00953285"/>
    <w:rsid w:val="00973C23"/>
    <w:rsid w:val="00987BE8"/>
    <w:rsid w:val="00992922"/>
    <w:rsid w:val="009C3843"/>
    <w:rsid w:val="009D7480"/>
    <w:rsid w:val="009E0437"/>
    <w:rsid w:val="009F2964"/>
    <w:rsid w:val="00A239AB"/>
    <w:rsid w:val="00A43649"/>
    <w:rsid w:val="00A43EEF"/>
    <w:rsid w:val="00A54B44"/>
    <w:rsid w:val="00A648B9"/>
    <w:rsid w:val="00A76E3D"/>
    <w:rsid w:val="00AA3735"/>
    <w:rsid w:val="00AB2FA6"/>
    <w:rsid w:val="00AB3500"/>
    <w:rsid w:val="00AD128E"/>
    <w:rsid w:val="00AF283C"/>
    <w:rsid w:val="00AF6448"/>
    <w:rsid w:val="00B24406"/>
    <w:rsid w:val="00B25B9E"/>
    <w:rsid w:val="00B32DB4"/>
    <w:rsid w:val="00B44295"/>
    <w:rsid w:val="00B67C35"/>
    <w:rsid w:val="00B94636"/>
    <w:rsid w:val="00BA2AC2"/>
    <w:rsid w:val="00BA5C9A"/>
    <w:rsid w:val="00BB3560"/>
    <w:rsid w:val="00BE3C1F"/>
    <w:rsid w:val="00C50744"/>
    <w:rsid w:val="00C5345F"/>
    <w:rsid w:val="00C63F8D"/>
    <w:rsid w:val="00C74084"/>
    <w:rsid w:val="00C8222A"/>
    <w:rsid w:val="00CC2F31"/>
    <w:rsid w:val="00CD2977"/>
    <w:rsid w:val="00CD5EC9"/>
    <w:rsid w:val="00CD6073"/>
    <w:rsid w:val="00D057CA"/>
    <w:rsid w:val="00D16EBF"/>
    <w:rsid w:val="00D80572"/>
    <w:rsid w:val="00D96898"/>
    <w:rsid w:val="00D974EF"/>
    <w:rsid w:val="00DA17A2"/>
    <w:rsid w:val="00DB04BA"/>
    <w:rsid w:val="00E46CC1"/>
    <w:rsid w:val="00E55287"/>
    <w:rsid w:val="00E7371A"/>
    <w:rsid w:val="00E91F88"/>
    <w:rsid w:val="00EA3995"/>
    <w:rsid w:val="00EA4F4E"/>
    <w:rsid w:val="00EB3B8A"/>
    <w:rsid w:val="00EC5248"/>
    <w:rsid w:val="00ED483E"/>
    <w:rsid w:val="00F345DF"/>
    <w:rsid w:val="00F34B01"/>
    <w:rsid w:val="00F4294A"/>
    <w:rsid w:val="00F62470"/>
    <w:rsid w:val="00F82793"/>
    <w:rsid w:val="00F83F96"/>
    <w:rsid w:val="00F96D7D"/>
    <w:rsid w:val="00FC050A"/>
    <w:rsid w:val="00FD3684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6FDC"/>
  <w15:docId w15:val="{7421F231-5631-4E41-9F08-F96AA677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25BDD"/>
    <w:pPr>
      <w:keepNext/>
      <w:spacing w:before="240" w:after="60"/>
      <w:jc w:val="center"/>
      <w:outlineLvl w:val="2"/>
    </w:pPr>
    <w:rPr>
      <w:b/>
      <w:bCs/>
      <w:sz w:val="4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125BDD"/>
    <w:rPr>
      <w:rFonts w:ascii="Times New Roman" w:eastAsia="Times New Roman" w:hAnsi="Times New Roman" w:cs="Times New Roman"/>
      <w:b/>
      <w:bCs/>
      <w:sz w:val="40"/>
      <w:szCs w:val="26"/>
      <w:lang w:eastAsia="fr-FR"/>
    </w:rPr>
  </w:style>
  <w:style w:type="paragraph" w:styleId="Sansinterligne">
    <w:name w:val="No Spacing"/>
    <w:link w:val="SansinterligneCar"/>
    <w:uiPriority w:val="99"/>
    <w:qFormat/>
    <w:rsid w:val="00125BDD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link w:val="Sansinterligne"/>
    <w:uiPriority w:val="99"/>
    <w:locked/>
    <w:rsid w:val="00125BDD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125BDD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A2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2E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2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2E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D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DB4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14B66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1E5C-E994-4038-93A5-0256B7D7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2024-02-13T09:22:00Z</cp:lastPrinted>
  <dcterms:created xsi:type="dcterms:W3CDTF">2024-02-15T12:47:00Z</dcterms:created>
  <dcterms:modified xsi:type="dcterms:W3CDTF">2024-02-15T12:47:00Z</dcterms:modified>
</cp:coreProperties>
</file>