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0178B" w14:textId="77777777" w:rsidR="00CC1530" w:rsidRPr="004C7AF1" w:rsidRDefault="00CC1530" w:rsidP="00CC1530">
      <w:pPr>
        <w:spacing w:after="80"/>
        <w:jc w:val="center"/>
        <w:rPr>
          <w:rFonts w:asciiTheme="majorBidi" w:hAnsiTheme="majorBidi" w:cstheme="majorBidi"/>
          <w:szCs w:val="24"/>
        </w:rPr>
      </w:pPr>
      <w:r w:rsidRPr="00D456DB">
        <w:rPr>
          <w:rFonts w:asciiTheme="majorBidi" w:hAnsiTheme="majorBidi" w:cstheme="majorBidi"/>
          <w:b/>
          <w:color w:val="000000"/>
          <w:szCs w:val="24"/>
        </w:rPr>
        <w:t>REPUBLIQUE ISLAMIQUE DE MAURITANIE</w:t>
      </w:r>
    </w:p>
    <w:p w14:paraId="48040690" w14:textId="7789E637" w:rsidR="00CC1530" w:rsidRPr="00D456DB" w:rsidRDefault="00CC1530" w:rsidP="00CC1530">
      <w:pPr>
        <w:spacing w:after="80"/>
        <w:jc w:val="center"/>
        <w:rPr>
          <w:rFonts w:asciiTheme="majorBidi" w:eastAsia="Calibri" w:hAnsiTheme="majorBidi" w:cstheme="majorBidi"/>
          <w:b/>
          <w:smallCaps/>
        </w:rPr>
      </w:pPr>
      <w:r w:rsidRPr="00D456DB">
        <w:rPr>
          <w:rFonts w:asciiTheme="majorBidi" w:eastAsia="Calibri" w:hAnsiTheme="majorBidi" w:cstheme="majorBidi"/>
          <w:b/>
          <w:smallCaps/>
        </w:rPr>
        <w:t>MINISTERE DE LA TRANSFORMATION NUMERIQUE</w:t>
      </w:r>
      <w:r>
        <w:rPr>
          <w:rFonts w:asciiTheme="majorBidi" w:eastAsia="Calibri" w:hAnsiTheme="majorBidi" w:cstheme="majorBidi"/>
          <w:b/>
          <w:smallCaps/>
        </w:rPr>
        <w:t xml:space="preserve"> </w:t>
      </w:r>
      <w:r w:rsidRPr="00D456DB">
        <w:rPr>
          <w:rFonts w:asciiTheme="majorBidi" w:eastAsia="Calibri" w:hAnsiTheme="majorBidi" w:cstheme="majorBidi"/>
          <w:b/>
          <w:smallCaps/>
        </w:rPr>
        <w:t>ET DE LA MODERNISATION DE L’ADMINISTRATION (MTIMA)</w:t>
      </w:r>
    </w:p>
    <w:p w14:paraId="5D7C9EB3" w14:textId="77777777" w:rsidR="00CC1530" w:rsidRPr="00D456DB" w:rsidRDefault="00CC1530" w:rsidP="00CC1530">
      <w:pPr>
        <w:shd w:val="clear" w:color="auto" w:fill="FFFFFF"/>
        <w:spacing w:after="80"/>
        <w:jc w:val="center"/>
        <w:rPr>
          <w:rFonts w:asciiTheme="majorBidi" w:hAnsiTheme="majorBidi" w:cstheme="majorBidi"/>
          <w:b/>
          <w:color w:val="000000"/>
        </w:rPr>
      </w:pPr>
      <w:r w:rsidRPr="00D456DB">
        <w:rPr>
          <w:rFonts w:asciiTheme="majorBidi" w:hAnsiTheme="majorBidi" w:cstheme="majorBidi"/>
          <w:b/>
          <w:color w:val="000000"/>
        </w:rPr>
        <w:t>Projet Régional d'Intégration Numérique en Afrique de l'Ouest (WARDIP)</w:t>
      </w:r>
    </w:p>
    <w:p w14:paraId="066019AA" w14:textId="77777777" w:rsidR="00CC1530" w:rsidRPr="00CC1530" w:rsidRDefault="00CC1530" w:rsidP="00CC153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bCs/>
          <w:szCs w:val="24"/>
        </w:rPr>
      </w:pPr>
      <w:r w:rsidRPr="00CC1530">
        <w:rPr>
          <w:rFonts w:asciiTheme="minorHAnsi" w:hAnsiTheme="minorHAnsi" w:cstheme="minorHAnsi"/>
          <w:b/>
          <w:bCs/>
          <w:szCs w:val="24"/>
        </w:rPr>
        <w:t>Appel d’Offres International pour Fournitures</w:t>
      </w:r>
    </w:p>
    <w:p w14:paraId="2FC54096" w14:textId="77777777" w:rsidR="00CC1530" w:rsidRPr="00CC1530" w:rsidRDefault="00CC1530" w:rsidP="00CC153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bCs/>
          <w:szCs w:val="24"/>
        </w:rPr>
      </w:pPr>
      <w:r w:rsidRPr="00CC1530">
        <w:rPr>
          <w:rFonts w:asciiTheme="minorHAnsi" w:hAnsiTheme="minorHAnsi" w:cstheme="minorHAnsi"/>
          <w:b/>
          <w:bCs/>
          <w:szCs w:val="24"/>
        </w:rPr>
        <w:t xml:space="preserve">(Processus à Deux Enveloppes) </w:t>
      </w:r>
    </w:p>
    <w:p w14:paraId="3D4B8C50" w14:textId="77777777" w:rsidR="00CC1530" w:rsidRPr="00E628F2" w:rsidRDefault="00CC1530" w:rsidP="00CC1530">
      <w:pPr>
        <w:jc w:val="center"/>
        <w:rPr>
          <w:rFonts w:asciiTheme="minorHAnsi" w:hAnsiTheme="minorHAnsi" w:cstheme="minorHAnsi"/>
          <w:i/>
          <w:iCs/>
        </w:rPr>
      </w:pPr>
    </w:p>
    <w:p w14:paraId="1652C064" w14:textId="77777777" w:rsidR="00CC1530" w:rsidRPr="00E628F2" w:rsidRDefault="00CC1530" w:rsidP="00CC1530">
      <w:pPr>
        <w:spacing w:after="120"/>
        <w:rPr>
          <w:rFonts w:asciiTheme="minorHAnsi" w:hAnsiTheme="minorHAnsi" w:cstheme="minorHAnsi"/>
          <w:b/>
          <w:bCs/>
          <w:lang w:val="pt-PT"/>
        </w:rPr>
      </w:pPr>
      <w:bookmarkStart w:id="0" w:name="_Hlk170644910"/>
      <w:r w:rsidRPr="00E628F2">
        <w:rPr>
          <w:rFonts w:asciiTheme="minorHAnsi" w:hAnsiTheme="minorHAnsi" w:cstheme="minorHAnsi"/>
          <w:b/>
          <w:bCs/>
          <w:lang w:val="pt-PT"/>
        </w:rPr>
        <w:t>Appel d’Offres No :</w:t>
      </w:r>
      <w:r w:rsidRPr="00E628F2">
        <w:rPr>
          <w:rFonts w:asciiTheme="minorHAnsi" w:hAnsiTheme="minorHAnsi" w:cstheme="minorHAnsi"/>
          <w:b/>
          <w:sz w:val="28"/>
          <w:szCs w:val="28"/>
          <w:lang w:val="pt-PT"/>
        </w:rPr>
        <w:t xml:space="preserve"> </w:t>
      </w:r>
      <w:r w:rsidRPr="00E628F2">
        <w:rPr>
          <w:rFonts w:asciiTheme="minorHAnsi" w:hAnsiTheme="minorHAnsi" w:cstheme="minorHAnsi"/>
          <w:b/>
          <w:bCs/>
          <w:lang w:val="pt-PT"/>
        </w:rPr>
        <w:t>AO-04_WARDIP-2024</w:t>
      </w:r>
    </w:p>
    <w:p w14:paraId="7FAB824F" w14:textId="77777777" w:rsidR="00CC1530" w:rsidRPr="00E628F2" w:rsidRDefault="00CC1530" w:rsidP="00CC1530">
      <w:pPr>
        <w:pStyle w:val="BankNormal"/>
        <w:spacing w:after="120"/>
        <w:rPr>
          <w:rFonts w:asciiTheme="minorHAnsi" w:hAnsiTheme="minorHAnsi" w:cstheme="minorHAnsi"/>
          <w:b/>
          <w:bCs/>
          <w:lang w:val="fr-FR"/>
        </w:rPr>
      </w:pPr>
      <w:r w:rsidRPr="00E628F2">
        <w:rPr>
          <w:rFonts w:asciiTheme="minorHAnsi" w:hAnsiTheme="minorHAnsi" w:cstheme="minorHAnsi"/>
          <w:b/>
          <w:bCs/>
          <w:lang w:val="fr-FR"/>
        </w:rPr>
        <w:t>Projet : Projet Régional d’Intégration Numérique en Afrique de l’Ouest</w:t>
      </w:r>
    </w:p>
    <w:p w14:paraId="71B30390" w14:textId="77777777" w:rsidR="00CC1530" w:rsidRPr="00E628F2" w:rsidRDefault="00CC1530" w:rsidP="00CC1530">
      <w:pPr>
        <w:pStyle w:val="BankNormal"/>
        <w:spacing w:after="120"/>
        <w:rPr>
          <w:rFonts w:asciiTheme="minorHAnsi" w:hAnsiTheme="minorHAnsi" w:cstheme="minorHAnsi"/>
          <w:b/>
          <w:bCs/>
          <w:lang w:val="fr-FR"/>
        </w:rPr>
      </w:pPr>
      <w:r w:rsidRPr="00E628F2">
        <w:rPr>
          <w:rFonts w:asciiTheme="minorHAnsi" w:hAnsiTheme="minorHAnsi" w:cstheme="minorHAnsi"/>
          <w:b/>
          <w:bCs/>
          <w:lang w:val="fr-FR"/>
        </w:rPr>
        <w:t xml:space="preserve">Acheteur : </w:t>
      </w:r>
      <w:r w:rsidRPr="00E628F2">
        <w:rPr>
          <w:rFonts w:asciiTheme="minorHAnsi" w:hAnsiTheme="minorHAnsi" w:cstheme="minorHAnsi"/>
          <w:b/>
          <w:spacing w:val="-3"/>
          <w:lang w:val="fr-FR"/>
        </w:rPr>
        <w:t>Unité de Gestion du Projet (UGP)_WARDIP</w:t>
      </w:r>
    </w:p>
    <w:p w14:paraId="7B9C96AE" w14:textId="77777777" w:rsidR="00CC1530" w:rsidRPr="00E628F2" w:rsidRDefault="00CC1530" w:rsidP="00CC1530">
      <w:pPr>
        <w:rPr>
          <w:rFonts w:asciiTheme="minorHAnsi" w:hAnsiTheme="minorHAnsi" w:cstheme="minorHAnsi"/>
          <w:b/>
          <w:bCs/>
        </w:rPr>
      </w:pPr>
      <w:r w:rsidRPr="00E628F2">
        <w:rPr>
          <w:rFonts w:asciiTheme="minorHAnsi" w:hAnsiTheme="minorHAnsi" w:cstheme="minorHAnsi"/>
          <w:b/>
          <w:bCs/>
        </w:rPr>
        <w:t>Pays : Mauritanie</w:t>
      </w:r>
    </w:p>
    <w:p w14:paraId="597F8DDB" w14:textId="5F1E51C2" w:rsidR="00CC1530" w:rsidRPr="00E628F2" w:rsidRDefault="00CC1530" w:rsidP="00CC1530">
      <w:pPr>
        <w:rPr>
          <w:rFonts w:asciiTheme="minorHAnsi" w:hAnsiTheme="minorHAnsi" w:cstheme="minorHAnsi"/>
          <w:bCs/>
          <w:i/>
          <w:iCs/>
        </w:rPr>
      </w:pPr>
      <w:r w:rsidRPr="00E628F2">
        <w:rPr>
          <w:rFonts w:asciiTheme="minorHAnsi" w:hAnsiTheme="minorHAnsi" w:cstheme="minorHAnsi"/>
          <w:b/>
          <w:bCs/>
        </w:rPr>
        <w:t>Intitulé du Marché : Acquisition et mise en place d’un Cloud Gouvernemental</w:t>
      </w:r>
    </w:p>
    <w:p w14:paraId="7B8D7778" w14:textId="286EA7B9" w:rsidR="00CC1530" w:rsidRPr="00AC49CA" w:rsidRDefault="00CC1530" w:rsidP="00AC49CA">
      <w:pPr>
        <w:rPr>
          <w:rFonts w:asciiTheme="minorHAnsi" w:hAnsiTheme="minorHAnsi" w:cstheme="minorHAnsi"/>
          <w:bCs/>
          <w:i/>
          <w:iCs/>
        </w:rPr>
      </w:pPr>
      <w:r w:rsidRPr="00E628F2">
        <w:rPr>
          <w:rFonts w:asciiTheme="minorHAnsi" w:hAnsiTheme="minorHAnsi" w:cstheme="minorHAnsi"/>
          <w:b/>
          <w:bCs/>
        </w:rPr>
        <w:t>Prêt/Crédit/don No</w:t>
      </w:r>
      <w:r w:rsidRPr="00E628F2">
        <w:rPr>
          <w:rFonts w:asciiTheme="minorHAnsi" w:hAnsiTheme="minorHAnsi" w:cstheme="minorHAnsi"/>
          <w:bCs/>
          <w:i/>
          <w:iCs/>
        </w:rPr>
        <w:t xml:space="preserve"> : </w:t>
      </w:r>
      <w:r w:rsidRPr="00E628F2">
        <w:rPr>
          <w:rFonts w:asciiTheme="minorHAnsi" w:hAnsiTheme="minorHAnsi" w:cstheme="minorHAnsi"/>
          <w:i/>
          <w:iCs/>
          <w:szCs w:val="24"/>
        </w:rPr>
        <w:t>IDA- 7445-MR</w:t>
      </w:r>
      <w:bookmarkEnd w:id="0"/>
    </w:p>
    <w:p w14:paraId="7D2D35AB" w14:textId="77777777" w:rsidR="00CC1530" w:rsidRPr="00E628F2" w:rsidRDefault="00CC1530" w:rsidP="00CC1530">
      <w:pPr>
        <w:jc w:val="center"/>
        <w:rPr>
          <w:rFonts w:asciiTheme="minorHAnsi" w:hAnsiTheme="minorHAnsi" w:cstheme="minorHAnsi"/>
          <w:b/>
          <w:bCs/>
          <w:i/>
          <w:iCs/>
        </w:rPr>
      </w:pPr>
    </w:p>
    <w:p w14:paraId="4A70E3B9" w14:textId="77777777" w:rsidR="00CC1530" w:rsidRPr="00E628F2" w:rsidRDefault="00CC1530" w:rsidP="00EF0DD8">
      <w:pPr>
        <w:numPr>
          <w:ilvl w:val="0"/>
          <w:numId w:val="1"/>
        </w:numPr>
        <w:spacing w:after="60"/>
        <w:ind w:left="0" w:firstLine="0"/>
        <w:jc w:val="both"/>
        <w:rPr>
          <w:rFonts w:asciiTheme="minorHAnsi" w:hAnsiTheme="minorHAnsi" w:cstheme="minorHAnsi"/>
        </w:rPr>
      </w:pPr>
      <w:r w:rsidRPr="00E628F2">
        <w:rPr>
          <w:rFonts w:asciiTheme="minorHAnsi" w:hAnsiTheme="minorHAnsi" w:cstheme="minorHAnsi"/>
          <w:b/>
          <w:spacing w:val="-3"/>
        </w:rPr>
        <w:t>La République Islamique de Mauritanie</w:t>
      </w:r>
      <w:r w:rsidRPr="00E628F2">
        <w:rPr>
          <w:rFonts w:asciiTheme="minorHAnsi" w:hAnsiTheme="minorHAnsi" w:cstheme="minorHAnsi"/>
          <w:i/>
          <w:iCs/>
        </w:rPr>
        <w:t xml:space="preserve"> a reçu </w:t>
      </w:r>
      <w:r w:rsidRPr="00E628F2">
        <w:rPr>
          <w:rFonts w:asciiTheme="minorHAnsi" w:hAnsiTheme="minorHAnsi" w:cstheme="minorHAnsi"/>
        </w:rPr>
        <w:t>un financement de la Banque mondiale pour financer</w:t>
      </w:r>
      <w:r w:rsidRPr="00E628F2">
        <w:rPr>
          <w:rFonts w:asciiTheme="minorHAnsi" w:hAnsiTheme="minorHAnsi" w:cstheme="minorHAnsi"/>
          <w:i/>
          <w:iCs/>
        </w:rPr>
        <w:t xml:space="preserve"> </w:t>
      </w:r>
      <w:r w:rsidRPr="00E628F2">
        <w:rPr>
          <w:rFonts w:asciiTheme="minorHAnsi" w:hAnsiTheme="minorHAnsi" w:cstheme="minorHAnsi"/>
          <w:spacing w:val="-3"/>
        </w:rPr>
        <w:t xml:space="preserve">le coût de la composante-Mauritanie du </w:t>
      </w:r>
      <w:r w:rsidRPr="00E628F2">
        <w:rPr>
          <w:rFonts w:asciiTheme="minorHAnsi" w:hAnsiTheme="minorHAnsi" w:cstheme="minorHAnsi"/>
          <w:b/>
        </w:rPr>
        <w:t>Projet Régional d’Intégration Numérique en Afrique de l’Ouest WARDIP – Mauritanie</w:t>
      </w:r>
      <w:r w:rsidRPr="00E628F2">
        <w:rPr>
          <w:rFonts w:asciiTheme="minorHAnsi" w:hAnsiTheme="minorHAnsi" w:cstheme="minorHAnsi"/>
        </w:rPr>
        <w:t xml:space="preserve"> et à l’intention d’utiliser une partie de ce financement pour effectuer des </w:t>
      </w:r>
      <w:r w:rsidRPr="0003710A">
        <w:rPr>
          <w:rFonts w:asciiTheme="minorHAnsi" w:hAnsiTheme="minorHAnsi" w:cstheme="minorHAnsi"/>
        </w:rPr>
        <w:t xml:space="preserve">paiements au titre du Marché </w:t>
      </w:r>
      <w:r w:rsidRPr="0003710A">
        <w:rPr>
          <w:rFonts w:asciiTheme="minorHAnsi" w:hAnsiTheme="minorHAnsi" w:cstheme="minorHAnsi"/>
          <w:i/>
          <w:iCs/>
        </w:rPr>
        <w:t xml:space="preserve">relatif à </w:t>
      </w:r>
      <w:r w:rsidRPr="007D1964">
        <w:rPr>
          <w:rFonts w:asciiTheme="minorHAnsi" w:hAnsiTheme="minorHAnsi" w:cstheme="minorHAnsi"/>
          <w:b/>
        </w:rPr>
        <w:t>l’acquisition et la mise en place d’un Cloud Gouvernemental.</w:t>
      </w:r>
      <w:r w:rsidRPr="00E628F2">
        <w:rPr>
          <w:rFonts w:asciiTheme="minorHAnsi" w:hAnsiTheme="minorHAnsi" w:cstheme="minorHAnsi"/>
          <w:i/>
          <w:iCs/>
          <w:color w:val="FF0000"/>
        </w:rPr>
        <w:t xml:space="preserve"> </w:t>
      </w:r>
    </w:p>
    <w:p w14:paraId="67DCFAC2" w14:textId="77777777" w:rsidR="00CC1530" w:rsidRPr="00E628F2" w:rsidRDefault="00CC1530" w:rsidP="00EF0DD8">
      <w:pPr>
        <w:numPr>
          <w:ilvl w:val="0"/>
          <w:numId w:val="1"/>
        </w:numPr>
        <w:spacing w:after="60"/>
        <w:ind w:left="0" w:firstLine="0"/>
        <w:jc w:val="both"/>
        <w:rPr>
          <w:rFonts w:asciiTheme="minorHAnsi" w:hAnsiTheme="minorHAnsi" w:cstheme="minorHAnsi"/>
        </w:rPr>
      </w:pPr>
      <w:bookmarkStart w:id="1" w:name="_Hlk151110208"/>
      <w:r w:rsidRPr="00E628F2">
        <w:rPr>
          <w:rFonts w:asciiTheme="minorHAnsi" w:hAnsiTheme="minorHAnsi" w:cstheme="minorHAnsi"/>
          <w:b/>
          <w:spacing w:val="-3"/>
        </w:rPr>
        <w:t>L’Unité de Gestion du Projet (UGP)_WARDIP</w:t>
      </w:r>
      <w:r w:rsidRPr="00E628F2">
        <w:rPr>
          <w:rFonts w:asciiTheme="minorHAnsi" w:hAnsiTheme="minorHAnsi" w:cstheme="minorHAnsi"/>
          <w:spacing w:val="-3"/>
        </w:rPr>
        <w:t xml:space="preserve"> au </w:t>
      </w:r>
      <w:r w:rsidRPr="00E628F2">
        <w:rPr>
          <w:rFonts w:asciiTheme="minorHAnsi" w:hAnsiTheme="minorHAnsi" w:cstheme="minorHAnsi"/>
          <w:b/>
        </w:rPr>
        <w:t>Ministère de la Transformation Numérique et de la Modernisation de l’Administration</w:t>
      </w:r>
      <w:bookmarkEnd w:id="1"/>
      <w:r w:rsidRPr="00E628F2">
        <w:rPr>
          <w:rFonts w:asciiTheme="minorHAnsi" w:hAnsiTheme="minorHAnsi" w:cstheme="minorHAnsi"/>
        </w:rPr>
        <w:t xml:space="preserve"> sollicite des offres fermées de la part de soumissionnaires éligibles et répondant aux qualifications requises pour </w:t>
      </w:r>
      <w:r w:rsidRPr="00E628F2">
        <w:rPr>
          <w:rFonts w:asciiTheme="minorHAnsi" w:hAnsiTheme="minorHAnsi" w:cstheme="minorHAnsi"/>
          <w:i/>
          <w:iCs/>
        </w:rPr>
        <w:t>l’acquisition et la mise en place d’un Cloud Gouvernemental :</w:t>
      </w:r>
    </w:p>
    <w:p w14:paraId="238CDA6A" w14:textId="77777777" w:rsidR="00CC1530" w:rsidRPr="00E628F2" w:rsidRDefault="00CC1530" w:rsidP="00EF0DD8">
      <w:pPr>
        <w:spacing w:after="60" w:line="276" w:lineRule="auto"/>
        <w:rPr>
          <w:rFonts w:asciiTheme="minorHAnsi" w:hAnsiTheme="minorHAnsi" w:cstheme="minorHAnsi"/>
        </w:rPr>
      </w:pPr>
      <w:r w:rsidRPr="00E628F2">
        <w:rPr>
          <w:rFonts w:asciiTheme="minorHAnsi" w:hAnsiTheme="minorHAnsi" w:cstheme="minorHAnsi"/>
        </w:rPr>
        <w:t>Les exigences globales pour la plate-forme Cloud Gouvernemental doivent couvrir l'infrastructure en tant que service (IaaS), la plate-forme en tant que service (PaaS), les catalogues des services Software (Sofware As A Service SAAS), ainsi que les opérations de maintenance et de mise à jour de ces services.:</w:t>
      </w:r>
    </w:p>
    <w:p w14:paraId="6DA3EA99" w14:textId="77777777" w:rsidR="00CC1530" w:rsidRPr="00E628F2" w:rsidRDefault="00CC1530" w:rsidP="00633B7F">
      <w:pPr>
        <w:pStyle w:val="Paragraphedeliste"/>
        <w:numPr>
          <w:ilvl w:val="0"/>
          <w:numId w:val="2"/>
        </w:numPr>
        <w:spacing w:line="276" w:lineRule="auto"/>
        <w:ind w:firstLine="851"/>
        <w:rPr>
          <w:rFonts w:asciiTheme="minorHAnsi" w:hAnsiTheme="minorHAnsi" w:cstheme="minorHAnsi"/>
        </w:rPr>
      </w:pPr>
      <w:r w:rsidRPr="00E628F2">
        <w:rPr>
          <w:rFonts w:asciiTheme="minorHAnsi" w:hAnsiTheme="minorHAnsi" w:cstheme="minorHAnsi"/>
        </w:rPr>
        <w:t>Module 1 : Infrastructure Open Source</w:t>
      </w:r>
    </w:p>
    <w:p w14:paraId="446BE478" w14:textId="77777777" w:rsidR="00CC1530" w:rsidRPr="00E628F2" w:rsidRDefault="00CC1530" w:rsidP="00633B7F">
      <w:pPr>
        <w:pStyle w:val="Paragraphedeliste"/>
        <w:numPr>
          <w:ilvl w:val="0"/>
          <w:numId w:val="2"/>
        </w:numPr>
        <w:spacing w:line="276" w:lineRule="auto"/>
        <w:ind w:firstLine="851"/>
        <w:rPr>
          <w:rFonts w:asciiTheme="minorHAnsi" w:hAnsiTheme="minorHAnsi" w:cstheme="minorHAnsi"/>
        </w:rPr>
      </w:pPr>
      <w:r w:rsidRPr="00E628F2">
        <w:rPr>
          <w:rFonts w:asciiTheme="minorHAnsi" w:hAnsiTheme="minorHAnsi" w:cstheme="minorHAnsi"/>
        </w:rPr>
        <w:t>Module 2 : Infrastructure Commerciale</w:t>
      </w:r>
    </w:p>
    <w:p w14:paraId="7A28B737" w14:textId="77777777" w:rsidR="00CC1530" w:rsidRPr="00E628F2" w:rsidRDefault="00CC1530" w:rsidP="00633B7F">
      <w:pPr>
        <w:pStyle w:val="Paragraphedeliste"/>
        <w:numPr>
          <w:ilvl w:val="0"/>
          <w:numId w:val="2"/>
        </w:numPr>
        <w:spacing w:line="276" w:lineRule="auto"/>
        <w:ind w:firstLine="851"/>
        <w:rPr>
          <w:rFonts w:asciiTheme="minorHAnsi" w:hAnsiTheme="minorHAnsi" w:cstheme="minorHAnsi"/>
        </w:rPr>
      </w:pPr>
      <w:r w:rsidRPr="00E628F2">
        <w:rPr>
          <w:rFonts w:asciiTheme="minorHAnsi" w:hAnsiTheme="minorHAnsi" w:cstheme="minorHAnsi"/>
        </w:rPr>
        <w:t>Module 3 : Réseaux et Sécurité</w:t>
      </w:r>
    </w:p>
    <w:p w14:paraId="0709C134" w14:textId="77777777" w:rsidR="00CC1530" w:rsidRPr="00E628F2" w:rsidRDefault="00CC1530" w:rsidP="00633B7F">
      <w:pPr>
        <w:pStyle w:val="Paragraphedeliste"/>
        <w:numPr>
          <w:ilvl w:val="0"/>
          <w:numId w:val="2"/>
        </w:numPr>
        <w:spacing w:line="276" w:lineRule="auto"/>
        <w:ind w:firstLine="851"/>
        <w:jc w:val="both"/>
        <w:rPr>
          <w:rFonts w:asciiTheme="minorHAnsi" w:hAnsiTheme="minorHAnsi" w:cstheme="minorHAnsi"/>
        </w:rPr>
      </w:pPr>
      <w:r w:rsidRPr="00E628F2">
        <w:rPr>
          <w:rFonts w:asciiTheme="minorHAnsi" w:hAnsiTheme="minorHAnsi" w:cstheme="minorHAnsi"/>
        </w:rPr>
        <w:t>Module 4 : Environnement Datacenter avec confinement</w:t>
      </w:r>
      <w:r w:rsidRPr="00E628F2">
        <w:rPr>
          <w:rFonts w:asciiTheme="minorHAnsi" w:hAnsiTheme="minorHAnsi" w:cstheme="minorHAnsi"/>
          <w:i/>
          <w:iCs/>
        </w:rPr>
        <w:t>.</w:t>
      </w:r>
      <w:r w:rsidRPr="00E628F2">
        <w:rPr>
          <w:rFonts w:asciiTheme="minorHAnsi" w:hAnsiTheme="minorHAnsi" w:cstheme="minorHAnsi"/>
        </w:rPr>
        <w:t xml:space="preserve"> </w:t>
      </w:r>
    </w:p>
    <w:p w14:paraId="1C45A410" w14:textId="77777777" w:rsidR="00CC1530" w:rsidRPr="007D1964" w:rsidRDefault="00CC1530" w:rsidP="00633B7F">
      <w:pPr>
        <w:pStyle w:val="Paragraphedeliste"/>
        <w:numPr>
          <w:ilvl w:val="0"/>
          <w:numId w:val="2"/>
        </w:numPr>
        <w:spacing w:line="276" w:lineRule="auto"/>
        <w:ind w:firstLine="851"/>
        <w:jc w:val="both"/>
        <w:rPr>
          <w:rFonts w:asciiTheme="minorHAnsi" w:hAnsiTheme="minorHAnsi" w:cstheme="minorHAnsi"/>
        </w:rPr>
      </w:pPr>
      <w:r w:rsidRPr="007D1964">
        <w:rPr>
          <w:rFonts w:asciiTheme="minorHAnsi" w:hAnsiTheme="minorHAnsi" w:cstheme="minorHAnsi"/>
        </w:rPr>
        <w:t>Module 5 : Service, maintenance et formation].</w:t>
      </w:r>
    </w:p>
    <w:p w14:paraId="36B3A7D2" w14:textId="77777777" w:rsidR="00CC1530" w:rsidRPr="00E628F2" w:rsidRDefault="00CC1530" w:rsidP="00EF0DD8">
      <w:pPr>
        <w:numPr>
          <w:ilvl w:val="0"/>
          <w:numId w:val="1"/>
        </w:numPr>
        <w:spacing w:after="60"/>
        <w:ind w:left="0" w:firstLine="0"/>
        <w:jc w:val="both"/>
        <w:rPr>
          <w:rFonts w:asciiTheme="minorHAnsi" w:hAnsiTheme="minorHAnsi" w:cstheme="minorHAnsi"/>
        </w:rPr>
      </w:pPr>
      <w:r w:rsidRPr="00E628F2">
        <w:rPr>
          <w:rFonts w:asciiTheme="minorHAnsi" w:hAnsiTheme="minorHAnsi" w:cstheme="minorHAnsi"/>
        </w:rPr>
        <w:t>La passation du Marché sera conduite par Mise en Concurrence internationale (AOI) tel que défini dans le « Règlement de Passation de Marchés applicable aux Emprunteurs de la Banque mondiale dans le cadre de Financement de Projet d’Investissement (FPI), de juillet 2016, mis à jour 2020» de la Banque mondiale</w:t>
      </w:r>
      <w:r w:rsidRPr="00E628F2">
        <w:rPr>
          <w:rFonts w:asciiTheme="minorHAnsi" w:hAnsiTheme="minorHAnsi" w:cstheme="minorHAnsi"/>
          <w:i/>
          <w:iCs/>
        </w:rPr>
        <w:t>,</w:t>
      </w:r>
      <w:r w:rsidRPr="00E628F2">
        <w:rPr>
          <w:rFonts w:asciiTheme="minorHAnsi" w:hAnsiTheme="minorHAnsi" w:cstheme="minorHAnsi"/>
        </w:rPr>
        <w:t xml:space="preserve"> et ouvert à tous les soumissionnaires de pays éligibles tels que définis dans ledit Règlement. </w:t>
      </w:r>
    </w:p>
    <w:p w14:paraId="224C8F3F" w14:textId="70568525" w:rsidR="00CC1530" w:rsidRPr="00EF0DD8" w:rsidRDefault="00CC1530" w:rsidP="00EF0DD8">
      <w:pPr>
        <w:numPr>
          <w:ilvl w:val="0"/>
          <w:numId w:val="1"/>
        </w:numPr>
        <w:spacing w:after="200"/>
        <w:ind w:left="0" w:firstLine="0"/>
        <w:jc w:val="both"/>
        <w:rPr>
          <w:rFonts w:asciiTheme="minorHAnsi" w:hAnsiTheme="minorHAnsi" w:cstheme="minorHAnsi"/>
        </w:rPr>
      </w:pPr>
      <w:r w:rsidRPr="00E628F2">
        <w:rPr>
          <w:rFonts w:asciiTheme="minorHAnsi" w:hAnsiTheme="minorHAnsi" w:cstheme="minorHAnsi"/>
        </w:rPr>
        <w:t>Les soumissionnaires éligibles et intéressés peuvent obtenir des informations auprès de [Monsieur le Coordonnateur du Projet WARDIP-MAURITANIE, TVZ-ilot 99,</w:t>
      </w:r>
      <w:r>
        <w:rPr>
          <w:rFonts w:asciiTheme="minorHAnsi" w:hAnsiTheme="minorHAnsi" w:cstheme="minorHAnsi"/>
        </w:rPr>
        <w:t xml:space="preserve"> </w:t>
      </w:r>
      <w:r w:rsidRPr="00E628F2">
        <w:rPr>
          <w:rFonts w:asciiTheme="minorHAnsi" w:hAnsiTheme="minorHAnsi" w:cstheme="minorHAnsi"/>
        </w:rPr>
        <w:t>B.P:40084</w:t>
      </w:r>
      <w:r w:rsidRPr="00E628F2">
        <w:rPr>
          <w:rFonts w:asciiTheme="minorHAnsi" w:hAnsiTheme="minorHAnsi" w:cstheme="minorHAnsi"/>
          <w:szCs w:val="24"/>
        </w:rPr>
        <w:t xml:space="preserve"> Téléphone/Fax + 222. 45.24.11.16</w:t>
      </w:r>
      <w:r>
        <w:rPr>
          <w:rFonts w:asciiTheme="minorHAnsi" w:hAnsiTheme="minorHAnsi" w:cstheme="minorHAnsi"/>
          <w:szCs w:val="24"/>
        </w:rPr>
        <w:t xml:space="preserve"> -</w:t>
      </w:r>
      <w:r w:rsidRPr="00E628F2">
        <w:rPr>
          <w:rFonts w:asciiTheme="minorHAnsi" w:hAnsiTheme="minorHAnsi" w:cstheme="minorHAnsi"/>
          <w:szCs w:val="24"/>
        </w:rPr>
        <w:t xml:space="preserve"> </w:t>
      </w:r>
      <w:r w:rsidRPr="008B0B89">
        <w:rPr>
          <w:rFonts w:asciiTheme="minorHAnsi" w:hAnsiTheme="minorHAnsi" w:cstheme="minorHAnsi"/>
          <w:szCs w:val="24"/>
        </w:rPr>
        <w:t xml:space="preserve">Courriel : </w:t>
      </w:r>
      <w:hyperlink r:id="rId7" w:history="1">
        <w:r w:rsidRPr="000E32A4">
          <w:rPr>
            <w:rStyle w:val="Lienhypertexte"/>
            <w:rFonts w:asciiTheme="minorHAnsi" w:hAnsiTheme="minorHAnsi" w:cstheme="minorHAnsi"/>
            <w:b/>
            <w:bCs/>
            <w:spacing w:val="-2"/>
          </w:rPr>
          <w:t>wardip@mtnima.gov.mr</w:t>
        </w:r>
      </w:hyperlink>
      <w:r w:rsidRPr="008B0B89">
        <w:rPr>
          <w:rFonts w:asciiTheme="minorHAnsi" w:hAnsiTheme="minorHAnsi" w:cstheme="minorHAnsi"/>
          <w:i/>
          <w:iCs/>
        </w:rPr>
        <w:t>]</w:t>
      </w:r>
      <w:r w:rsidRPr="008B0B89">
        <w:rPr>
          <w:rStyle w:val="Appelnotedebasdep"/>
          <w:rFonts w:asciiTheme="minorHAnsi" w:hAnsiTheme="minorHAnsi" w:cstheme="minorHAnsi"/>
          <w:i/>
          <w:iCs/>
        </w:rPr>
        <w:t xml:space="preserve"> </w:t>
      </w:r>
      <w:r w:rsidRPr="008B0B89">
        <w:rPr>
          <w:rStyle w:val="Appelnotedebasdep"/>
          <w:rFonts w:asciiTheme="minorHAnsi" w:hAnsiTheme="minorHAnsi" w:cstheme="minorHAnsi"/>
          <w:i/>
          <w:iCs/>
        </w:rPr>
        <w:footnoteReference w:id="1"/>
      </w:r>
      <w:r w:rsidR="00EF0DD8">
        <w:rPr>
          <w:rFonts w:asciiTheme="minorHAnsi" w:hAnsiTheme="minorHAnsi" w:cstheme="minorHAnsi"/>
        </w:rPr>
        <w:t xml:space="preserve"> </w:t>
      </w:r>
      <w:r w:rsidRPr="00EF0DD8">
        <w:rPr>
          <w:rFonts w:asciiTheme="minorHAnsi" w:hAnsiTheme="minorHAnsi" w:cstheme="minorHAnsi"/>
        </w:rPr>
        <w:t xml:space="preserve">et </w:t>
      </w:r>
      <w:r w:rsidRPr="00EF0DD8">
        <w:rPr>
          <w:rFonts w:asciiTheme="minorHAnsi" w:hAnsiTheme="minorHAnsi" w:cstheme="minorHAnsi"/>
        </w:rPr>
        <w:lastRenderedPageBreak/>
        <w:t xml:space="preserve">prendre connaissance des documents d’Appel d’offres durant les heures de bureau </w:t>
      </w:r>
      <w:r w:rsidRPr="00EF0DD8">
        <w:rPr>
          <w:rFonts w:asciiTheme="minorHAnsi" w:hAnsiTheme="minorHAnsi" w:cstheme="minorHAnsi"/>
          <w:i/>
          <w:iCs/>
        </w:rPr>
        <w:t xml:space="preserve">de 09h00 à 16h00 </w:t>
      </w:r>
      <w:r w:rsidRPr="00EF0DD8">
        <w:rPr>
          <w:rFonts w:asciiTheme="minorHAnsi" w:hAnsiTheme="minorHAnsi" w:cstheme="minorHAnsi"/>
        </w:rPr>
        <w:t>à l’adresse</w:t>
      </w:r>
      <w:r w:rsidRPr="00EF0DD8">
        <w:rPr>
          <w:rFonts w:asciiTheme="minorHAnsi" w:hAnsiTheme="minorHAnsi" w:cstheme="minorHAnsi"/>
          <w:i/>
          <w:iCs/>
        </w:rPr>
        <w:t xml:space="preserve"> </w:t>
      </w:r>
      <w:r w:rsidRPr="00EF0DD8">
        <w:rPr>
          <w:rFonts w:asciiTheme="minorHAnsi" w:hAnsiTheme="minorHAnsi" w:cstheme="minorHAnsi"/>
        </w:rPr>
        <w:t>mentionnée ci-dessous</w:t>
      </w:r>
      <w:r w:rsidRPr="00EF0DD8">
        <w:rPr>
          <w:rFonts w:asciiTheme="minorHAnsi" w:hAnsiTheme="minorHAnsi" w:cstheme="minorHAnsi"/>
          <w:i/>
          <w:iCs/>
        </w:rPr>
        <w:t>]</w:t>
      </w:r>
    </w:p>
    <w:p w14:paraId="6E20242C" w14:textId="77777777" w:rsidR="00CC1530" w:rsidRPr="00E628F2" w:rsidRDefault="00CC1530" w:rsidP="00FD5BF7">
      <w:pPr>
        <w:pStyle w:val="BankNormal"/>
        <w:spacing w:after="120"/>
        <w:ind w:left="720"/>
        <w:jc w:val="center"/>
        <w:rPr>
          <w:rFonts w:asciiTheme="minorHAnsi" w:hAnsiTheme="minorHAnsi" w:cstheme="minorHAnsi"/>
          <w:b/>
          <w:i/>
          <w:iCs/>
          <w:szCs w:val="24"/>
          <w:lang w:val="fr-FR"/>
        </w:rPr>
      </w:pPr>
      <w:r w:rsidRPr="00E628F2">
        <w:rPr>
          <w:rFonts w:asciiTheme="minorHAnsi" w:hAnsiTheme="minorHAnsi" w:cstheme="minorHAnsi"/>
          <w:b/>
          <w:i/>
          <w:iCs/>
          <w:spacing w:val="-3"/>
          <w:szCs w:val="24"/>
          <w:lang w:val="fr-FR"/>
        </w:rPr>
        <w:t xml:space="preserve">L’Unité de Gestion du Projet (UGP)_WARDIP au </w:t>
      </w:r>
      <w:r w:rsidRPr="00E628F2">
        <w:rPr>
          <w:rFonts w:asciiTheme="minorHAnsi" w:hAnsiTheme="minorHAnsi" w:cstheme="minorHAnsi"/>
          <w:b/>
          <w:i/>
          <w:iCs/>
          <w:szCs w:val="24"/>
          <w:lang w:val="fr-FR"/>
        </w:rPr>
        <w:t>Ministère de la Transformation Numérique et de la Modernisation de l’Administration</w:t>
      </w:r>
    </w:p>
    <w:p w14:paraId="60B1CAF5" w14:textId="7FA9A6CC" w:rsidR="00CC1530" w:rsidRPr="00B44911" w:rsidRDefault="00CC1530" w:rsidP="00FD5BF7">
      <w:pPr>
        <w:pStyle w:val="Paragraphedeliste"/>
        <w:tabs>
          <w:tab w:val="left" w:pos="-720"/>
        </w:tabs>
        <w:jc w:val="center"/>
        <w:rPr>
          <w:rFonts w:asciiTheme="minorHAnsi" w:hAnsiTheme="minorHAnsi" w:cstheme="minorHAnsi"/>
          <w:spacing w:val="-3"/>
        </w:rPr>
      </w:pPr>
      <w:r w:rsidRPr="00E628F2">
        <w:rPr>
          <w:rFonts w:asciiTheme="minorHAnsi" w:hAnsiTheme="minorHAnsi" w:cstheme="minorHAnsi"/>
          <w:b/>
          <w:bCs/>
          <w:i/>
          <w:color w:val="000000"/>
          <w:spacing w:val="-2"/>
          <w:szCs w:val="24"/>
        </w:rPr>
        <w:t>TVZ, N° 099 – Nouakchott </w:t>
      </w:r>
      <w:r w:rsidR="00FD5BF7">
        <w:rPr>
          <w:rFonts w:asciiTheme="minorHAnsi" w:hAnsiTheme="minorHAnsi" w:cstheme="minorHAnsi"/>
          <w:b/>
          <w:bCs/>
          <w:i/>
          <w:color w:val="000000"/>
          <w:spacing w:val="-2"/>
          <w:szCs w:val="24"/>
        </w:rPr>
        <w:t xml:space="preserve">- </w:t>
      </w:r>
      <w:r w:rsidRPr="00E628F2">
        <w:rPr>
          <w:rFonts w:asciiTheme="minorHAnsi" w:hAnsiTheme="minorHAnsi" w:cstheme="minorHAnsi"/>
          <w:b/>
          <w:bCs/>
          <w:i/>
          <w:color w:val="000000"/>
          <w:spacing w:val="-2"/>
          <w:szCs w:val="24"/>
        </w:rPr>
        <w:t>Téléphone : +222 4524 11 02</w:t>
      </w:r>
      <w:r w:rsidR="00FD5BF7">
        <w:rPr>
          <w:rFonts w:asciiTheme="minorHAnsi" w:hAnsiTheme="minorHAnsi" w:cstheme="minorHAnsi"/>
          <w:b/>
          <w:bCs/>
          <w:i/>
          <w:color w:val="000000"/>
          <w:spacing w:val="-2"/>
          <w:szCs w:val="24"/>
        </w:rPr>
        <w:t xml:space="preserve"> - </w:t>
      </w:r>
      <w:r w:rsidRPr="00E628F2">
        <w:rPr>
          <w:rFonts w:asciiTheme="minorHAnsi" w:hAnsiTheme="minorHAnsi" w:cstheme="minorHAnsi"/>
          <w:b/>
          <w:i/>
          <w:color w:val="000000"/>
          <w:spacing w:val="-2"/>
        </w:rPr>
        <w:t>Courrie</w:t>
      </w:r>
      <w:r w:rsidRPr="008B0B89">
        <w:rPr>
          <w:rFonts w:asciiTheme="minorHAnsi" w:hAnsiTheme="minorHAnsi" w:cstheme="minorHAnsi"/>
          <w:b/>
          <w:i/>
          <w:color w:val="000000"/>
          <w:spacing w:val="-2"/>
        </w:rPr>
        <w:t xml:space="preserve">l : </w:t>
      </w:r>
      <w:hyperlink r:id="rId8" w:history="1">
        <w:r w:rsidRPr="000E32A4">
          <w:rPr>
            <w:rStyle w:val="Lienhypertexte"/>
            <w:rFonts w:asciiTheme="minorHAnsi" w:hAnsiTheme="minorHAnsi" w:cstheme="minorHAnsi"/>
            <w:b/>
            <w:i/>
            <w:spacing w:val="-2"/>
          </w:rPr>
          <w:t>wardip@mtnima.gov.mr</w:t>
        </w:r>
      </w:hyperlink>
    </w:p>
    <w:p w14:paraId="1FC4129D" w14:textId="77777777" w:rsidR="00CC1530" w:rsidRPr="0003710A" w:rsidRDefault="00CC1530" w:rsidP="00EF0DD8">
      <w:pPr>
        <w:numPr>
          <w:ilvl w:val="0"/>
          <w:numId w:val="1"/>
        </w:numPr>
        <w:spacing w:after="60"/>
        <w:ind w:left="0" w:firstLine="0"/>
        <w:jc w:val="both"/>
        <w:rPr>
          <w:rFonts w:asciiTheme="minorHAnsi" w:hAnsiTheme="minorHAnsi" w:cstheme="minorHAnsi"/>
        </w:rPr>
      </w:pPr>
      <w:r w:rsidRPr="00E628F2">
        <w:rPr>
          <w:rFonts w:asciiTheme="minorHAnsi" w:hAnsiTheme="minorHAnsi" w:cstheme="minorHAnsi"/>
        </w:rPr>
        <w:t xml:space="preserve">Les Soumissionnaires intéressés et éligibles peuvent obtenir un dossier d’appel d’offres complet en </w:t>
      </w:r>
      <w:r w:rsidRPr="00E628F2">
        <w:rPr>
          <w:rFonts w:asciiTheme="minorHAnsi" w:hAnsiTheme="minorHAnsi" w:cstheme="minorHAnsi"/>
          <w:i/>
          <w:iCs/>
        </w:rPr>
        <w:t>[français]</w:t>
      </w:r>
      <w:r w:rsidRPr="00E628F2">
        <w:rPr>
          <w:rFonts w:asciiTheme="minorHAnsi" w:hAnsiTheme="minorHAnsi" w:cstheme="minorHAnsi"/>
        </w:rPr>
        <w:t xml:space="preserve"> en formulant </w:t>
      </w:r>
      <w:r w:rsidRPr="0003710A">
        <w:rPr>
          <w:rFonts w:asciiTheme="minorHAnsi" w:hAnsiTheme="minorHAnsi" w:cstheme="minorHAnsi"/>
        </w:rPr>
        <w:t xml:space="preserve">une demande écrite à l’adresse mentionnée ci-dessous et contre un paiement non remboursable de </w:t>
      </w:r>
      <w:r w:rsidRPr="007D1964">
        <w:rPr>
          <w:rFonts w:asciiTheme="minorHAnsi" w:hAnsiTheme="minorHAnsi" w:cstheme="minorHAnsi"/>
          <w:b/>
          <w:bCs/>
          <w:spacing w:val="-3"/>
        </w:rPr>
        <w:t>de 10 000 MRU</w:t>
      </w:r>
      <w:r w:rsidRPr="0003710A">
        <w:rPr>
          <w:rFonts w:asciiTheme="minorHAnsi" w:hAnsiTheme="minorHAnsi" w:cstheme="minorHAnsi"/>
          <w:spacing w:val="-3"/>
        </w:rPr>
        <w:t>. Le paiement sera effectué au niveau du trésor public</w:t>
      </w:r>
      <w:r>
        <w:rPr>
          <w:rFonts w:asciiTheme="minorHAnsi" w:hAnsiTheme="minorHAnsi" w:cstheme="minorHAnsi"/>
          <w:spacing w:val="-3"/>
        </w:rPr>
        <w:t>.</w:t>
      </w:r>
      <w:r w:rsidRPr="0003710A">
        <w:rPr>
          <w:rFonts w:asciiTheme="minorHAnsi" w:hAnsiTheme="minorHAnsi" w:cstheme="minorHAnsi"/>
          <w:spacing w:val="-3"/>
        </w:rPr>
        <w:t xml:space="preserve"> Le Dossier d’appel d’offre sera remis au représentant du soumissionnaire contre présentation de la quittance du trésor.</w:t>
      </w:r>
    </w:p>
    <w:p w14:paraId="400AE34F" w14:textId="77777777" w:rsidR="00CC1530" w:rsidRPr="00E628F2" w:rsidRDefault="00CC1530" w:rsidP="00EF0DD8">
      <w:pPr>
        <w:numPr>
          <w:ilvl w:val="0"/>
          <w:numId w:val="1"/>
        </w:numPr>
        <w:spacing w:after="60"/>
        <w:ind w:left="0" w:firstLine="0"/>
        <w:jc w:val="both"/>
        <w:rPr>
          <w:rFonts w:asciiTheme="minorHAnsi" w:hAnsiTheme="minorHAnsi" w:cstheme="minorHAnsi"/>
        </w:rPr>
      </w:pPr>
      <w:r w:rsidRPr="008B0B89">
        <w:rPr>
          <w:rFonts w:asciiTheme="minorHAnsi" w:hAnsiTheme="minorHAnsi" w:cstheme="minorHAnsi"/>
        </w:rPr>
        <w:t>Les offres devront être soumises à l’adresse suivante [</w:t>
      </w:r>
      <w:r w:rsidRPr="008B0B89">
        <w:rPr>
          <w:rFonts w:asciiTheme="minorHAnsi" w:hAnsiTheme="minorHAnsi" w:cstheme="minorHAnsi"/>
          <w:i/>
          <w:iCs/>
        </w:rPr>
        <w:t xml:space="preserve">à la fin de cet avis] </w:t>
      </w:r>
      <w:r w:rsidRPr="008B0B89">
        <w:rPr>
          <w:rFonts w:asciiTheme="minorHAnsi" w:hAnsiTheme="minorHAnsi" w:cstheme="minorHAnsi"/>
        </w:rPr>
        <w:t xml:space="preserve">au plus tard </w:t>
      </w:r>
      <w:r w:rsidRPr="008B0B89">
        <w:rPr>
          <w:rFonts w:asciiTheme="minorHAnsi" w:hAnsiTheme="minorHAnsi" w:cstheme="minorHAnsi"/>
          <w:b/>
          <w:bCs/>
        </w:rPr>
        <w:t xml:space="preserve">le </w:t>
      </w:r>
      <w:r>
        <w:rPr>
          <w:rFonts w:asciiTheme="minorHAnsi" w:hAnsiTheme="minorHAnsi" w:cstheme="minorHAnsi"/>
          <w:b/>
          <w:bCs/>
          <w:i/>
          <w:iCs/>
        </w:rPr>
        <w:t xml:space="preserve">12 novembre  </w:t>
      </w:r>
      <w:r w:rsidRPr="008B0B89">
        <w:rPr>
          <w:rFonts w:asciiTheme="minorHAnsi" w:hAnsiTheme="minorHAnsi" w:cstheme="minorHAnsi"/>
          <w:b/>
          <w:bCs/>
          <w:i/>
          <w:iCs/>
        </w:rPr>
        <w:t>2024 à 12 heures locale en Mauritanie</w:t>
      </w:r>
      <w:r w:rsidRPr="008B0B89">
        <w:rPr>
          <w:rFonts w:asciiTheme="minorHAnsi" w:hAnsiTheme="minorHAnsi" w:cstheme="minorHAnsi"/>
        </w:rPr>
        <w:t xml:space="preserve">. La soumission des offres par voie </w:t>
      </w:r>
      <w:r w:rsidRPr="008B0B89">
        <w:rPr>
          <w:rFonts w:asciiTheme="minorHAnsi" w:hAnsiTheme="minorHAnsi" w:cstheme="minorHAnsi"/>
          <w:color w:val="002060"/>
        </w:rPr>
        <w:t xml:space="preserve">électronique </w:t>
      </w:r>
      <w:r w:rsidRPr="008B0B89">
        <w:rPr>
          <w:rFonts w:asciiTheme="minorHAnsi" w:hAnsiTheme="minorHAnsi" w:cstheme="minorHAnsi"/>
          <w:i/>
          <w:iCs/>
          <w:color w:val="002060"/>
        </w:rPr>
        <w:t>« ne sera pas »</w:t>
      </w:r>
      <w:r w:rsidRPr="008B0B89">
        <w:rPr>
          <w:rFonts w:asciiTheme="minorHAnsi" w:hAnsiTheme="minorHAnsi" w:cstheme="minorHAnsi"/>
          <w:color w:val="002060"/>
        </w:rPr>
        <w:t xml:space="preserve"> autorisée. Les offres remises en retard ne seront pas acceptées. Les enveloppes ex</w:t>
      </w:r>
      <w:r w:rsidRPr="008B0B89">
        <w:rPr>
          <w:rFonts w:asciiTheme="minorHAnsi" w:hAnsiTheme="minorHAnsi" w:cstheme="minorHAnsi"/>
        </w:rPr>
        <w:t xml:space="preserve">térieures des Offres marquées « OFFRE ORIGINALE », et les enveloppes intérieures marquées « PARTIE TECHNIQUE » seront ouvertes publiquement en présence des représentants des Soumissionnaires et de toute personne choisissant d’être présente à l’adresse mentionnée ci-dessous </w:t>
      </w:r>
      <w:r w:rsidRPr="008B0B89">
        <w:rPr>
          <w:rFonts w:asciiTheme="minorHAnsi" w:hAnsiTheme="minorHAnsi" w:cstheme="minorHAnsi"/>
          <w:i/>
          <w:iCs/>
        </w:rPr>
        <w:t>[à la fin de cet avis]</w:t>
      </w:r>
      <w:r w:rsidRPr="008B0B89">
        <w:rPr>
          <w:rFonts w:asciiTheme="minorHAnsi" w:hAnsiTheme="minorHAnsi" w:cstheme="minorHAnsi"/>
        </w:rPr>
        <w:t xml:space="preserve"> le </w:t>
      </w:r>
      <w:r w:rsidRPr="008B0B89">
        <w:rPr>
          <w:rFonts w:asciiTheme="minorHAnsi" w:hAnsiTheme="minorHAnsi" w:cstheme="minorHAnsi"/>
          <w:i/>
          <w:iCs/>
        </w:rPr>
        <w:t>[</w:t>
      </w:r>
      <w:r>
        <w:rPr>
          <w:rFonts w:asciiTheme="minorHAnsi" w:hAnsiTheme="minorHAnsi" w:cstheme="minorHAnsi"/>
          <w:b/>
          <w:bCs/>
          <w:i/>
          <w:iCs/>
        </w:rPr>
        <w:t xml:space="preserve">12 novembre  </w:t>
      </w:r>
      <w:r w:rsidRPr="008B0B89">
        <w:rPr>
          <w:rFonts w:asciiTheme="minorHAnsi" w:hAnsiTheme="minorHAnsi" w:cstheme="minorHAnsi"/>
          <w:b/>
          <w:bCs/>
          <w:i/>
          <w:iCs/>
        </w:rPr>
        <w:t>2024 à 12heure locale en Mauritanie</w:t>
      </w:r>
      <w:r w:rsidRPr="008B0B89">
        <w:rPr>
          <w:rFonts w:asciiTheme="minorHAnsi" w:hAnsiTheme="minorHAnsi" w:cstheme="minorHAnsi"/>
          <w:i/>
          <w:iCs/>
        </w:rPr>
        <w:t>].</w:t>
      </w:r>
      <w:r w:rsidRPr="008B0B89">
        <w:rPr>
          <w:rFonts w:asciiTheme="minorHAnsi" w:hAnsiTheme="minorHAnsi" w:cstheme="minorHAnsi"/>
        </w:rPr>
        <w:t xml:space="preserve"> Toutes les enveloppes marquées « PARTIE FINANCIERE DEUXIEME ENVELOPPE » devront rester non ouvertes</w:t>
      </w:r>
      <w:r w:rsidRPr="00E628F2">
        <w:rPr>
          <w:rFonts w:asciiTheme="minorHAnsi" w:hAnsiTheme="minorHAnsi" w:cstheme="minorHAnsi"/>
        </w:rPr>
        <w:t xml:space="preserve"> et seront conservées en un lieu sûr par </w:t>
      </w:r>
      <w:r>
        <w:rPr>
          <w:rFonts w:asciiTheme="minorHAnsi" w:hAnsiTheme="minorHAnsi" w:cstheme="minorHAnsi"/>
        </w:rPr>
        <w:t>le Président de la Commission de Passation des Marchés Publics du Ministère de la Transformation Numérique et de la Modernisation de l’Administration</w:t>
      </w:r>
      <w:r w:rsidRPr="00E628F2">
        <w:rPr>
          <w:rFonts w:asciiTheme="minorHAnsi" w:hAnsiTheme="minorHAnsi" w:cstheme="minorHAnsi"/>
        </w:rPr>
        <w:t xml:space="preserve"> jusqu’à la deuxième ouverture publique. </w:t>
      </w:r>
    </w:p>
    <w:p w14:paraId="7CBF121B" w14:textId="77777777" w:rsidR="00CC1530" w:rsidRPr="00E628F2" w:rsidRDefault="00CC1530" w:rsidP="00EF0DD8">
      <w:pPr>
        <w:numPr>
          <w:ilvl w:val="0"/>
          <w:numId w:val="1"/>
        </w:numPr>
        <w:spacing w:after="60"/>
        <w:ind w:left="0" w:firstLine="0"/>
        <w:jc w:val="both"/>
        <w:rPr>
          <w:rFonts w:asciiTheme="minorHAnsi" w:hAnsiTheme="minorHAnsi" w:cstheme="minorHAnsi"/>
        </w:rPr>
      </w:pPr>
      <w:r w:rsidRPr="00E628F2">
        <w:rPr>
          <w:rFonts w:asciiTheme="minorHAnsi" w:hAnsiTheme="minorHAnsi" w:cstheme="minorHAnsi"/>
        </w:rPr>
        <w:t xml:space="preserve">Toutes les offres doivent comprendre </w:t>
      </w:r>
      <w:r w:rsidRPr="00E628F2">
        <w:rPr>
          <w:rFonts w:asciiTheme="minorHAnsi" w:hAnsiTheme="minorHAnsi" w:cstheme="minorHAnsi"/>
          <w:i/>
          <w:iCs/>
        </w:rPr>
        <w:t>« une Garantie de l’Offre »</w:t>
      </w:r>
      <w:r w:rsidRPr="00E628F2">
        <w:rPr>
          <w:rFonts w:asciiTheme="minorHAnsi" w:hAnsiTheme="minorHAnsi" w:cstheme="minorHAnsi"/>
        </w:rPr>
        <w:t xml:space="preserve">, pour un montant de </w:t>
      </w:r>
      <w:r w:rsidRPr="00E628F2">
        <w:rPr>
          <w:rFonts w:asciiTheme="minorHAnsi" w:hAnsiTheme="minorHAnsi" w:cstheme="minorHAnsi"/>
          <w:b/>
          <w:bCs/>
          <w:i/>
          <w:iCs/>
        </w:rPr>
        <w:t>1600 000</w:t>
      </w:r>
      <w:r>
        <w:rPr>
          <w:rFonts w:asciiTheme="minorHAnsi" w:hAnsiTheme="minorHAnsi" w:cstheme="minorHAnsi"/>
          <w:b/>
          <w:bCs/>
          <w:i/>
          <w:iCs/>
        </w:rPr>
        <w:t xml:space="preserve"> </w:t>
      </w:r>
      <w:r w:rsidRPr="00E628F2">
        <w:rPr>
          <w:rFonts w:asciiTheme="minorHAnsi" w:hAnsiTheme="minorHAnsi" w:cstheme="minorHAnsi"/>
          <w:b/>
          <w:bCs/>
          <w:i/>
          <w:iCs/>
        </w:rPr>
        <w:t>MRU</w:t>
      </w:r>
      <w:r w:rsidRPr="00E628F2">
        <w:rPr>
          <w:rFonts w:asciiTheme="minorHAnsi" w:hAnsiTheme="minorHAnsi" w:cstheme="minorHAnsi"/>
          <w:i/>
          <w:iCs/>
        </w:rPr>
        <w:t xml:space="preserve">. </w:t>
      </w:r>
    </w:p>
    <w:p w14:paraId="49268FCB" w14:textId="77777777" w:rsidR="00CC1530" w:rsidRPr="00B44911" w:rsidRDefault="00CC1530" w:rsidP="00EF0DD8">
      <w:pPr>
        <w:pStyle w:val="Paragraphedeliste"/>
        <w:numPr>
          <w:ilvl w:val="0"/>
          <w:numId w:val="1"/>
        </w:numPr>
        <w:tabs>
          <w:tab w:val="clear" w:pos="720"/>
          <w:tab w:val="left" w:pos="0"/>
        </w:tabs>
        <w:suppressAutoHyphens/>
        <w:overflowPunct w:val="0"/>
        <w:autoSpaceDE w:val="0"/>
        <w:autoSpaceDN w:val="0"/>
        <w:adjustRightInd w:val="0"/>
        <w:spacing w:after="60"/>
        <w:ind w:left="0" w:firstLine="0"/>
        <w:contextualSpacing w:val="0"/>
        <w:jc w:val="both"/>
        <w:textAlignment w:val="baseline"/>
        <w:rPr>
          <w:rFonts w:asciiTheme="minorHAnsi" w:hAnsiTheme="minorHAnsi" w:cstheme="minorHAnsi"/>
          <w:spacing w:val="-2"/>
          <w:szCs w:val="24"/>
        </w:rPr>
      </w:pPr>
      <w:bookmarkStart w:id="2" w:name="_Hlk100069864"/>
      <w:r w:rsidRPr="00E628F2">
        <w:rPr>
          <w:rFonts w:asciiTheme="minorHAnsi" w:hAnsiTheme="minorHAnsi" w:cstheme="minorHAnsi"/>
          <w:spacing w:val="-2"/>
          <w:lang w:val="fr"/>
        </w:rPr>
        <w:t>L’attention est attirée sur le Règlement de Passation de Marchés exigeant que l’Emprunteur divulgue des informations sur la propriété effective du Soumissionnaire retenu, dans le cadre de la Notification d’Attribution du Marché, en utilisant le Formulaire de Divulgation des Bénéficiaires Effectifs tel qu’il est inclus dans le document d’appel d’offres.</w:t>
      </w:r>
    </w:p>
    <w:p w14:paraId="67672D7E" w14:textId="77777777" w:rsidR="00CC1530" w:rsidRPr="007D1964" w:rsidRDefault="00CC1530" w:rsidP="00CC1530">
      <w:pPr>
        <w:pStyle w:val="Paragraphedeliste"/>
        <w:numPr>
          <w:ilvl w:val="0"/>
          <w:numId w:val="1"/>
        </w:numPr>
        <w:tabs>
          <w:tab w:val="clear" w:pos="720"/>
          <w:tab w:val="left" w:pos="0"/>
        </w:tabs>
        <w:suppressAutoHyphens/>
        <w:overflowPunct w:val="0"/>
        <w:autoSpaceDE w:val="0"/>
        <w:autoSpaceDN w:val="0"/>
        <w:adjustRightInd w:val="0"/>
        <w:spacing w:before="240" w:after="240"/>
        <w:ind w:left="0" w:firstLine="0"/>
        <w:jc w:val="both"/>
        <w:textAlignment w:val="baseline"/>
        <w:rPr>
          <w:rFonts w:asciiTheme="minorHAnsi" w:hAnsiTheme="minorHAnsi" w:cstheme="minorHAnsi"/>
          <w:spacing w:val="-2"/>
          <w:szCs w:val="24"/>
        </w:rPr>
      </w:pPr>
      <w:r w:rsidRPr="007D1964">
        <w:rPr>
          <w:rFonts w:asciiTheme="minorHAnsi" w:hAnsiTheme="minorHAnsi" w:cstheme="minorHAnsi"/>
          <w:spacing w:val="-2"/>
        </w:rPr>
        <w:t>L’évaluation des offres sera organisée en trois étapes :</w:t>
      </w:r>
    </w:p>
    <w:p w14:paraId="7C49374D" w14:textId="77777777" w:rsidR="00CC1530" w:rsidRPr="004D2A74" w:rsidRDefault="00CC1530" w:rsidP="00CC1530">
      <w:pPr>
        <w:pStyle w:val="Paragraphedeliste"/>
        <w:numPr>
          <w:ilvl w:val="0"/>
          <w:numId w:val="3"/>
        </w:numPr>
        <w:tabs>
          <w:tab w:val="left" w:pos="0"/>
        </w:tabs>
        <w:suppressAutoHyphens/>
        <w:overflowPunct w:val="0"/>
        <w:autoSpaceDE w:val="0"/>
        <w:autoSpaceDN w:val="0"/>
        <w:adjustRightInd w:val="0"/>
        <w:spacing w:before="240" w:after="240"/>
        <w:jc w:val="both"/>
        <w:textAlignment w:val="baseline"/>
        <w:rPr>
          <w:rFonts w:asciiTheme="minorHAnsi" w:hAnsiTheme="minorHAnsi" w:cstheme="minorHAnsi"/>
          <w:color w:val="FF0000"/>
          <w:spacing w:val="-2"/>
          <w:szCs w:val="24"/>
        </w:rPr>
      </w:pPr>
      <w:r w:rsidRPr="00E628F2">
        <w:rPr>
          <w:rFonts w:asciiTheme="minorHAnsi" w:hAnsiTheme="minorHAnsi" w:cstheme="minorHAnsi"/>
        </w:rPr>
        <w:t>Evaluation des Parties Techniques des Offres</w:t>
      </w:r>
      <w:r>
        <w:rPr>
          <w:rFonts w:asciiTheme="minorHAnsi" w:hAnsiTheme="minorHAnsi" w:cstheme="minorHAnsi"/>
        </w:rPr>
        <w:t xml:space="preserve"> (Conformité de l’offre, qualification des soumissionnaires, évaluation technique détaillé de la partie technique   ;</w:t>
      </w:r>
    </w:p>
    <w:p w14:paraId="1FDB80D5" w14:textId="77777777" w:rsidR="00CC1530" w:rsidRPr="00416AD3" w:rsidRDefault="00CC1530" w:rsidP="00CC1530">
      <w:pPr>
        <w:pStyle w:val="Paragraphedeliste"/>
        <w:numPr>
          <w:ilvl w:val="0"/>
          <w:numId w:val="3"/>
        </w:numPr>
        <w:tabs>
          <w:tab w:val="left" w:pos="0"/>
        </w:tabs>
        <w:suppressAutoHyphens/>
        <w:overflowPunct w:val="0"/>
        <w:autoSpaceDE w:val="0"/>
        <w:autoSpaceDN w:val="0"/>
        <w:adjustRightInd w:val="0"/>
        <w:spacing w:before="240" w:after="240"/>
        <w:jc w:val="both"/>
        <w:textAlignment w:val="baseline"/>
        <w:rPr>
          <w:rFonts w:asciiTheme="minorHAnsi" w:hAnsiTheme="minorHAnsi" w:cstheme="minorHAnsi"/>
          <w:color w:val="FF0000"/>
          <w:spacing w:val="-2"/>
          <w:szCs w:val="24"/>
        </w:rPr>
      </w:pPr>
      <w:r w:rsidRPr="00E628F2">
        <w:rPr>
          <w:rFonts w:asciiTheme="minorHAnsi" w:hAnsiTheme="minorHAnsi" w:cstheme="minorHAnsi"/>
        </w:rPr>
        <w:t xml:space="preserve">Evaluation des </w:t>
      </w:r>
      <w:r>
        <w:rPr>
          <w:rFonts w:asciiTheme="minorHAnsi" w:hAnsiTheme="minorHAnsi" w:cstheme="minorHAnsi"/>
        </w:rPr>
        <w:t>offres</w:t>
      </w:r>
      <w:r w:rsidRPr="00E628F2">
        <w:rPr>
          <w:rFonts w:asciiTheme="minorHAnsi" w:hAnsiTheme="minorHAnsi" w:cstheme="minorHAnsi"/>
        </w:rPr>
        <w:t xml:space="preserve"> Financières</w:t>
      </w:r>
      <w:r>
        <w:rPr>
          <w:rFonts w:asciiTheme="minorHAnsi" w:hAnsiTheme="minorHAnsi" w:cstheme="minorHAnsi"/>
        </w:rPr>
        <w:t> ;</w:t>
      </w:r>
    </w:p>
    <w:p w14:paraId="42EA2898" w14:textId="77777777" w:rsidR="00CC1530" w:rsidRPr="008B0B89" w:rsidRDefault="00CC1530" w:rsidP="00CC1530">
      <w:pPr>
        <w:pStyle w:val="Paragraphedeliste"/>
        <w:numPr>
          <w:ilvl w:val="0"/>
          <w:numId w:val="3"/>
        </w:numPr>
        <w:tabs>
          <w:tab w:val="left" w:pos="0"/>
        </w:tabs>
        <w:suppressAutoHyphens/>
        <w:overflowPunct w:val="0"/>
        <w:autoSpaceDE w:val="0"/>
        <w:autoSpaceDN w:val="0"/>
        <w:adjustRightInd w:val="0"/>
        <w:spacing w:before="240" w:after="240"/>
        <w:jc w:val="both"/>
        <w:textAlignment w:val="baseline"/>
        <w:rPr>
          <w:rFonts w:asciiTheme="minorHAnsi" w:hAnsiTheme="minorHAnsi" w:cstheme="minorHAnsi"/>
          <w:color w:val="FF0000"/>
          <w:spacing w:val="-2"/>
          <w:szCs w:val="24"/>
        </w:rPr>
      </w:pPr>
      <w:r w:rsidRPr="00E628F2">
        <w:rPr>
          <w:rFonts w:asciiTheme="minorHAnsi" w:hAnsiTheme="minorHAnsi" w:cstheme="minorHAnsi"/>
        </w:rPr>
        <w:t>Evaluation</w:t>
      </w:r>
      <w:r w:rsidRPr="000A7F3C">
        <w:rPr>
          <w:rFonts w:asciiTheme="minorHAnsi" w:hAnsiTheme="minorHAnsi" w:cstheme="minorHAnsi"/>
        </w:rPr>
        <w:t xml:space="preserve"> </w:t>
      </w:r>
      <w:r w:rsidRPr="00E628F2">
        <w:rPr>
          <w:rFonts w:asciiTheme="minorHAnsi" w:hAnsiTheme="minorHAnsi" w:cstheme="minorHAnsi"/>
        </w:rPr>
        <w:t xml:space="preserve">combinée des </w:t>
      </w:r>
      <w:r>
        <w:rPr>
          <w:rFonts w:asciiTheme="minorHAnsi" w:hAnsiTheme="minorHAnsi" w:cstheme="minorHAnsi"/>
        </w:rPr>
        <w:t>p</w:t>
      </w:r>
      <w:r w:rsidRPr="00E628F2">
        <w:rPr>
          <w:rFonts w:asciiTheme="minorHAnsi" w:hAnsiTheme="minorHAnsi" w:cstheme="minorHAnsi"/>
        </w:rPr>
        <w:t xml:space="preserve">arties </w:t>
      </w:r>
      <w:r>
        <w:rPr>
          <w:rFonts w:asciiTheme="minorHAnsi" w:hAnsiTheme="minorHAnsi" w:cstheme="minorHAnsi"/>
        </w:rPr>
        <w:t>t</w:t>
      </w:r>
      <w:r w:rsidRPr="00E628F2">
        <w:rPr>
          <w:rFonts w:asciiTheme="minorHAnsi" w:hAnsiTheme="minorHAnsi" w:cstheme="minorHAnsi"/>
        </w:rPr>
        <w:t xml:space="preserve">echniques et </w:t>
      </w:r>
      <w:r>
        <w:rPr>
          <w:rFonts w:asciiTheme="minorHAnsi" w:hAnsiTheme="minorHAnsi" w:cstheme="minorHAnsi"/>
        </w:rPr>
        <w:t>f</w:t>
      </w:r>
      <w:r w:rsidRPr="00E628F2">
        <w:rPr>
          <w:rFonts w:asciiTheme="minorHAnsi" w:hAnsiTheme="minorHAnsi" w:cstheme="minorHAnsi"/>
        </w:rPr>
        <w:t xml:space="preserve">inancières </w:t>
      </w:r>
      <w:r>
        <w:rPr>
          <w:rFonts w:asciiTheme="minorHAnsi" w:hAnsiTheme="minorHAnsi" w:cstheme="minorHAnsi"/>
        </w:rPr>
        <w:t>(30% pour l’offre technique et 70% pour l’offre financière)</w:t>
      </w:r>
    </w:p>
    <w:p w14:paraId="04953B9D" w14:textId="77777777" w:rsidR="00CC1530" w:rsidRDefault="00CC1530" w:rsidP="00CC1530">
      <w:pPr>
        <w:pStyle w:val="Paragraphedeliste"/>
        <w:numPr>
          <w:ilvl w:val="0"/>
          <w:numId w:val="1"/>
        </w:numPr>
        <w:suppressAutoHyphens/>
        <w:overflowPunct w:val="0"/>
        <w:autoSpaceDE w:val="0"/>
        <w:autoSpaceDN w:val="0"/>
        <w:adjustRightInd w:val="0"/>
        <w:jc w:val="both"/>
        <w:textAlignment w:val="baseline"/>
      </w:pPr>
      <w:r w:rsidRPr="007D1964">
        <w:rPr>
          <w:rFonts w:asciiTheme="minorHAnsi" w:hAnsiTheme="minorHAnsi" w:cstheme="minorHAnsi"/>
          <w:spacing w:val="-2"/>
        </w:rPr>
        <w:t>L’offre la plus avantageuse est celle remise par le soumissionnaire qui (i) satisfait aux</w:t>
      </w:r>
      <w:r w:rsidRPr="0043397E">
        <w:t xml:space="preserve"> </w:t>
      </w:r>
      <w:r>
        <w:t>critères de qualification, (ii) dont l’offre a été jugée conforme pour l’essentiel et</w:t>
      </w:r>
      <w:r w:rsidRPr="00227B1C">
        <w:t xml:space="preserve"> </w:t>
      </w:r>
      <w:r>
        <w:t>(iii)  a obtenu le score technique /financier</w:t>
      </w:r>
      <w:r w:rsidRPr="00227B1C">
        <w:t xml:space="preserve"> </w:t>
      </w:r>
      <w:r>
        <w:t>le plus élevé.</w:t>
      </w:r>
      <w:r w:rsidRPr="00763410">
        <w:rPr>
          <w:rFonts w:asciiTheme="minorHAnsi" w:hAnsiTheme="minorHAnsi" w:cstheme="minorHAnsi"/>
        </w:rPr>
        <w:t xml:space="preserve"> </w:t>
      </w:r>
      <w:r w:rsidRPr="007D1964">
        <w:t>Le marché sera attribué au soumissionnaire dont l’Offre aura été évaluée la plus avantageuse.</w:t>
      </w:r>
    </w:p>
    <w:bookmarkEnd w:id="2"/>
    <w:p w14:paraId="226EFA76" w14:textId="77777777" w:rsidR="00CC1530" w:rsidRPr="00E628F2" w:rsidRDefault="00CC1530" w:rsidP="00CC1530">
      <w:pPr>
        <w:numPr>
          <w:ilvl w:val="0"/>
          <w:numId w:val="1"/>
        </w:numPr>
        <w:spacing w:after="200"/>
        <w:ind w:left="0" w:firstLine="0"/>
        <w:jc w:val="both"/>
        <w:rPr>
          <w:rFonts w:asciiTheme="minorHAnsi" w:hAnsiTheme="minorHAnsi" w:cstheme="minorHAnsi"/>
        </w:rPr>
      </w:pPr>
      <w:r w:rsidRPr="00E628F2">
        <w:rPr>
          <w:rFonts w:asciiTheme="minorHAnsi" w:hAnsiTheme="minorHAnsi" w:cstheme="minorHAnsi"/>
        </w:rPr>
        <w:t xml:space="preserve">L’(les) adresse(s) auxquelles il est fait référence ci-dessus est(sont) : </w:t>
      </w:r>
    </w:p>
    <w:p w14:paraId="23668444" w14:textId="469909F2" w:rsidR="00CC1530" w:rsidRPr="008B0B89" w:rsidRDefault="00CC1530" w:rsidP="00FD5BF7">
      <w:pPr>
        <w:tabs>
          <w:tab w:val="right" w:pos="7254"/>
        </w:tabs>
        <w:spacing w:after="120"/>
        <w:jc w:val="center"/>
        <w:rPr>
          <w:rFonts w:asciiTheme="minorHAnsi" w:hAnsiTheme="minorHAnsi" w:cstheme="minorHAnsi"/>
          <w:b/>
          <w:bCs/>
          <w:color w:val="002060"/>
          <w:szCs w:val="24"/>
        </w:rPr>
      </w:pPr>
      <w:r w:rsidRPr="008B0B89">
        <w:rPr>
          <w:rFonts w:asciiTheme="minorHAnsi" w:hAnsiTheme="minorHAnsi" w:cstheme="minorHAnsi"/>
          <w:b/>
          <w:bCs/>
          <w:color w:val="002060"/>
          <w:szCs w:val="24"/>
        </w:rPr>
        <w:t>Commission de Passation des Marchés</w:t>
      </w:r>
      <w:r w:rsidR="00FD5BF7">
        <w:rPr>
          <w:rFonts w:asciiTheme="minorHAnsi" w:hAnsiTheme="minorHAnsi" w:cstheme="minorHAnsi"/>
          <w:b/>
          <w:bCs/>
          <w:color w:val="002060"/>
          <w:szCs w:val="24"/>
        </w:rPr>
        <w:t xml:space="preserve"> </w:t>
      </w:r>
      <w:r w:rsidRPr="008B0B89">
        <w:rPr>
          <w:rFonts w:asciiTheme="minorHAnsi" w:hAnsiTheme="minorHAnsi" w:cstheme="minorHAnsi"/>
          <w:b/>
          <w:bCs/>
          <w:color w:val="002060"/>
          <w:szCs w:val="24"/>
        </w:rPr>
        <w:t>Publics (CPMP/MTNMA)</w:t>
      </w:r>
    </w:p>
    <w:p w14:paraId="2EECF627" w14:textId="77777777" w:rsidR="00CC1530" w:rsidRPr="008B0B89" w:rsidRDefault="00CC1530" w:rsidP="00CC1530">
      <w:pPr>
        <w:shd w:val="clear" w:color="auto" w:fill="FFFFFF"/>
        <w:jc w:val="center"/>
        <w:rPr>
          <w:rFonts w:asciiTheme="minorHAnsi" w:hAnsiTheme="minorHAnsi" w:cstheme="minorHAnsi"/>
          <w:b/>
          <w:color w:val="002060"/>
          <w:szCs w:val="24"/>
        </w:rPr>
      </w:pPr>
      <w:r w:rsidRPr="008B0B89">
        <w:rPr>
          <w:rFonts w:asciiTheme="minorHAnsi" w:hAnsiTheme="minorHAnsi" w:cstheme="minorHAnsi"/>
          <w:b/>
          <w:color w:val="002060"/>
          <w:szCs w:val="24"/>
        </w:rPr>
        <w:t>Nouakchott Mauritanie Téléphone : +222 49 72 71 70</w:t>
      </w:r>
    </w:p>
    <w:p w14:paraId="713D2DD8" w14:textId="1B17352C" w:rsidR="00A22212" w:rsidRPr="00633B7F" w:rsidRDefault="00CC1530" w:rsidP="00633B7F">
      <w:pPr>
        <w:ind w:left="360" w:hanging="360"/>
        <w:jc w:val="center"/>
        <w:rPr>
          <w:rFonts w:asciiTheme="minorHAnsi" w:hAnsiTheme="minorHAnsi" w:cstheme="minorHAnsi"/>
        </w:rPr>
      </w:pPr>
      <w:r w:rsidRPr="008B0B89">
        <w:rPr>
          <w:rFonts w:asciiTheme="minorHAnsi" w:hAnsiTheme="minorHAnsi" w:cstheme="minorHAnsi"/>
          <w:b/>
          <w:color w:val="002060"/>
          <w:szCs w:val="24"/>
        </w:rPr>
        <w:t xml:space="preserve">Courriel : </w:t>
      </w:r>
      <w:hyperlink r:id="rId9" w:history="1">
        <w:r w:rsidRPr="000E32A4">
          <w:rPr>
            <w:rStyle w:val="Lienhypertexte"/>
            <w:rFonts w:asciiTheme="minorHAnsi" w:eastAsia="Calibri" w:hAnsiTheme="minorHAnsi" w:cstheme="minorHAnsi"/>
            <w:b/>
            <w:bCs/>
            <w:sz w:val="22"/>
            <w:szCs w:val="22"/>
            <w:lang w:eastAsia="en-US"/>
          </w:rPr>
          <w:t>cpmp-mtnima@mtnima.gov.mr</w:t>
        </w:r>
      </w:hyperlink>
    </w:p>
    <w:sectPr w:rsidR="00A22212" w:rsidRPr="00633B7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88D27" w14:textId="77777777" w:rsidR="00EE78ED" w:rsidRDefault="00EE78ED" w:rsidP="00CC1530">
      <w:r>
        <w:separator/>
      </w:r>
    </w:p>
  </w:endnote>
  <w:endnote w:type="continuationSeparator" w:id="0">
    <w:p w14:paraId="67553F26" w14:textId="77777777" w:rsidR="00EE78ED" w:rsidRDefault="00EE78ED"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450432"/>
      <w:docPartObj>
        <w:docPartGallery w:val="Page Numbers (Bottom of Page)"/>
        <w:docPartUnique/>
      </w:docPartObj>
    </w:sdtPr>
    <w:sdtContent>
      <w:p w14:paraId="4085A2EF" w14:textId="668D48CC" w:rsidR="00CC1530" w:rsidRDefault="00CC1530">
        <w:pPr>
          <w:pStyle w:val="Pieddepage"/>
          <w:jc w:val="right"/>
        </w:pPr>
        <w:r>
          <w:fldChar w:fldCharType="begin"/>
        </w:r>
        <w:r>
          <w:instrText>PAGE   \* MERGEFORMAT</w:instrText>
        </w:r>
        <w:r>
          <w:fldChar w:fldCharType="separate"/>
        </w:r>
        <w:r>
          <w:t>2</w:t>
        </w:r>
        <w:r>
          <w:fldChar w:fldCharType="end"/>
        </w:r>
      </w:p>
    </w:sdtContent>
  </w:sdt>
  <w:p w14:paraId="5006088A" w14:textId="77777777" w:rsidR="00CC1530" w:rsidRDefault="00CC15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6F025" w14:textId="77777777" w:rsidR="00EE78ED" w:rsidRDefault="00EE78ED" w:rsidP="00CC1530">
      <w:r>
        <w:separator/>
      </w:r>
    </w:p>
  </w:footnote>
  <w:footnote w:type="continuationSeparator" w:id="0">
    <w:p w14:paraId="70D911AA" w14:textId="77777777" w:rsidR="00EE78ED" w:rsidRDefault="00EE78ED" w:rsidP="00CC1530">
      <w:r>
        <w:continuationSeparator/>
      </w:r>
    </w:p>
  </w:footnote>
  <w:footnote w:id="1">
    <w:p w14:paraId="46D8B59B" w14:textId="77777777" w:rsidR="00CC1530" w:rsidRPr="003569C8" w:rsidRDefault="00CC1530" w:rsidP="00CC1530">
      <w:pPr>
        <w:pStyle w:val="Notedebasdepage"/>
        <w:rPr>
          <w:lang w:val="fr-FR"/>
        </w:rPr>
      </w:pPr>
      <w:r w:rsidRPr="003569C8">
        <w:rPr>
          <w:rStyle w:val="Appelnotedebasdep"/>
          <w:lang w:val="fr-FR"/>
        </w:rPr>
        <w:footnoteRef/>
      </w:r>
      <w:r w:rsidRPr="003569C8">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0435F"/>
    <w:multiLevelType w:val="hybridMultilevel"/>
    <w:tmpl w:val="A38A8424"/>
    <w:lvl w:ilvl="0" w:tplc="729E80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8F5DC3"/>
    <w:multiLevelType w:val="hybridMultilevel"/>
    <w:tmpl w:val="8EDE6780"/>
    <w:lvl w:ilvl="0" w:tplc="6404459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8839228">
    <w:abstractNumId w:val="1"/>
  </w:num>
  <w:num w:numId="2" w16cid:durableId="1060443030">
    <w:abstractNumId w:val="0"/>
  </w:num>
  <w:num w:numId="3" w16cid:durableId="405957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30"/>
    <w:rsid w:val="00633B7F"/>
    <w:rsid w:val="008249E0"/>
    <w:rsid w:val="00A22212"/>
    <w:rsid w:val="00A272B5"/>
    <w:rsid w:val="00AC49CA"/>
    <w:rsid w:val="00B07B5D"/>
    <w:rsid w:val="00CC1530"/>
    <w:rsid w:val="00EE78ED"/>
    <w:rsid w:val="00EF0DD8"/>
    <w:rsid w:val="00FD5B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E643"/>
  <w15:chartTrackingRefBased/>
  <w15:docId w15:val="{58F12D56-DCB9-4DF3-BB48-A874C53F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30"/>
    <w:pPr>
      <w:spacing w:after="0" w:line="240" w:lineRule="auto"/>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CC1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1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15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15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15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153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153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153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153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15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15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15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15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15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15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15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15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1530"/>
    <w:rPr>
      <w:rFonts w:eastAsiaTheme="majorEastAsia" w:cstheme="majorBidi"/>
      <w:color w:val="272727" w:themeColor="text1" w:themeTint="D8"/>
    </w:rPr>
  </w:style>
  <w:style w:type="paragraph" w:styleId="Titre">
    <w:name w:val="Title"/>
    <w:basedOn w:val="Normal"/>
    <w:next w:val="Normal"/>
    <w:link w:val="TitreCar"/>
    <w:uiPriority w:val="10"/>
    <w:qFormat/>
    <w:rsid w:val="00CC153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15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15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15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1530"/>
    <w:pPr>
      <w:spacing w:before="160"/>
      <w:jc w:val="center"/>
    </w:pPr>
    <w:rPr>
      <w:i/>
      <w:iCs/>
      <w:color w:val="404040" w:themeColor="text1" w:themeTint="BF"/>
    </w:rPr>
  </w:style>
  <w:style w:type="character" w:customStyle="1" w:styleId="CitationCar">
    <w:name w:val="Citation Car"/>
    <w:basedOn w:val="Policepardfaut"/>
    <w:link w:val="Citation"/>
    <w:uiPriority w:val="29"/>
    <w:rsid w:val="00CC1530"/>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CC1530"/>
    <w:pPr>
      <w:ind w:left="720"/>
      <w:contextualSpacing/>
    </w:pPr>
  </w:style>
  <w:style w:type="character" w:styleId="Accentuationintense">
    <w:name w:val="Intense Emphasis"/>
    <w:basedOn w:val="Policepardfaut"/>
    <w:uiPriority w:val="21"/>
    <w:qFormat/>
    <w:rsid w:val="00CC1530"/>
    <w:rPr>
      <w:i/>
      <w:iCs/>
      <w:color w:val="0F4761" w:themeColor="accent1" w:themeShade="BF"/>
    </w:rPr>
  </w:style>
  <w:style w:type="paragraph" w:styleId="Citationintense">
    <w:name w:val="Intense Quote"/>
    <w:basedOn w:val="Normal"/>
    <w:next w:val="Normal"/>
    <w:link w:val="CitationintenseCar"/>
    <w:uiPriority w:val="30"/>
    <w:qFormat/>
    <w:rsid w:val="00CC1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1530"/>
    <w:rPr>
      <w:i/>
      <w:iCs/>
      <w:color w:val="0F4761" w:themeColor="accent1" w:themeShade="BF"/>
    </w:rPr>
  </w:style>
  <w:style w:type="character" w:styleId="Rfrenceintense">
    <w:name w:val="Intense Reference"/>
    <w:basedOn w:val="Policepardfaut"/>
    <w:uiPriority w:val="32"/>
    <w:qFormat/>
    <w:rsid w:val="00CC1530"/>
    <w:rPr>
      <w:b/>
      <w:bCs/>
      <w:smallCaps/>
      <w:color w:val="0F4761" w:themeColor="accent1" w:themeShade="BF"/>
      <w:spacing w:val="5"/>
    </w:rPr>
  </w:style>
  <w:style w:type="paragraph" w:customStyle="1" w:styleId="BankNormal">
    <w:name w:val="BankNormal"/>
    <w:basedOn w:val="Normal"/>
    <w:rsid w:val="00CC1530"/>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CC1530"/>
    <w:pPr>
      <w:jc w:val="both"/>
    </w:pPr>
    <w:rPr>
      <w:sz w:val="20"/>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CC1530"/>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aliases w:val="callout"/>
    <w:uiPriority w:val="99"/>
    <w:rsid w:val="00CC1530"/>
    <w:rPr>
      <w:vertAlign w:val="superscript"/>
    </w:rPr>
  </w:style>
  <w:style w:type="character" w:styleId="Lienhypertexte">
    <w:name w:val="Hyperlink"/>
    <w:uiPriority w:val="99"/>
    <w:qFormat/>
    <w:rsid w:val="00CC1530"/>
    <w:rPr>
      <w:rFonts w:ascii="Times New Roman" w:hAnsi="Times New Roman"/>
      <w:color w:val="0000FF"/>
      <w:sz w:val="24"/>
      <w:u w:val="singl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sid w:val="00CC1530"/>
  </w:style>
  <w:style w:type="paragraph" w:styleId="En-tte">
    <w:name w:val="header"/>
    <w:basedOn w:val="Normal"/>
    <w:link w:val="En-tteCar"/>
    <w:uiPriority w:val="99"/>
    <w:unhideWhenUsed/>
    <w:rsid w:val="00CC1530"/>
    <w:pPr>
      <w:tabs>
        <w:tab w:val="center" w:pos="4536"/>
        <w:tab w:val="right" w:pos="9072"/>
      </w:tabs>
    </w:pPr>
  </w:style>
  <w:style w:type="character" w:customStyle="1" w:styleId="En-tteCar">
    <w:name w:val="En-tête Car"/>
    <w:basedOn w:val="Policepardfaut"/>
    <w:link w:val="En-tte"/>
    <w:uiPriority w:val="99"/>
    <w:rsid w:val="00CC1530"/>
    <w:rPr>
      <w:rFonts w:ascii="Times New Roman" w:eastAsia="Times New Roman" w:hAnsi="Times New Roman" w:cs="Times New Roman"/>
      <w:kern w:val="0"/>
      <w:sz w:val="24"/>
      <w:szCs w:val="20"/>
      <w:lang w:eastAsia="fr-FR"/>
      <w14:ligatures w14:val="none"/>
    </w:rPr>
  </w:style>
  <w:style w:type="paragraph" w:styleId="Pieddepage">
    <w:name w:val="footer"/>
    <w:basedOn w:val="Normal"/>
    <w:link w:val="PieddepageCar"/>
    <w:uiPriority w:val="99"/>
    <w:unhideWhenUsed/>
    <w:rsid w:val="00CC1530"/>
    <w:pPr>
      <w:tabs>
        <w:tab w:val="center" w:pos="4536"/>
        <w:tab w:val="right" w:pos="9072"/>
      </w:tabs>
    </w:pPr>
  </w:style>
  <w:style w:type="character" w:customStyle="1" w:styleId="PieddepageCar">
    <w:name w:val="Pied de page Car"/>
    <w:basedOn w:val="Policepardfaut"/>
    <w:link w:val="Pieddepage"/>
    <w:uiPriority w:val="99"/>
    <w:rsid w:val="00CC1530"/>
    <w:rPr>
      <w:rFonts w:ascii="Times New Roman" w:eastAsia="Times New Roman" w:hAnsi="Times New Roman" w:cs="Times New Roman"/>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dip@mtnima.gov.mr" TargetMode="External"/><Relationship Id="rId3" Type="http://schemas.openxmlformats.org/officeDocument/2006/relationships/settings" Target="settings.xml"/><Relationship Id="rId7" Type="http://schemas.openxmlformats.org/officeDocument/2006/relationships/hyperlink" Target="mailto:wardip@mtnima.gov.m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pmp-mtnima@mtnima.gov.m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873</Words>
  <Characters>4802</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Lemine Ould Salihi</dc:creator>
  <cp:keywords/>
  <dc:description/>
  <cp:lastModifiedBy>Mohamed Lemine Ould Salihi</cp:lastModifiedBy>
  <cp:revision>5</cp:revision>
  <dcterms:created xsi:type="dcterms:W3CDTF">2024-09-12T20:56:00Z</dcterms:created>
  <dcterms:modified xsi:type="dcterms:W3CDTF">2024-09-17T13:15:00Z</dcterms:modified>
</cp:coreProperties>
</file>