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D0" w:rsidRPr="000C7867" w:rsidRDefault="00827DD0" w:rsidP="00827DD0">
      <w:pPr>
        <w:kinsoku w:val="0"/>
        <w:overflowPunct w:val="0"/>
        <w:spacing w:line="252" w:lineRule="exact"/>
        <w:ind w:left="3969"/>
        <w:jc w:val="right"/>
        <w:rPr>
          <w:rFonts w:ascii="LouguiyaFR" w:hAnsi="LouguiyaFR"/>
          <w:b/>
          <w:sz w:val="22"/>
          <w:szCs w:val="22"/>
        </w:rPr>
      </w:pP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</w:t>
      </w:r>
    </w:p>
    <w:p w:rsidR="008F610B" w:rsidRPr="000C7867" w:rsidRDefault="008F610B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</w:p>
    <w:p w:rsidR="008F610B" w:rsidRPr="000C7867" w:rsidRDefault="008F610B" w:rsidP="008F610B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70528" behindDoc="0" locked="0" layoutInCell="1" allowOverlap="1" wp14:anchorId="529E3338" wp14:editId="1A1FD898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2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8F610B" w:rsidRPr="000C7867" w:rsidRDefault="008F610B" w:rsidP="008F610B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8F610B" w:rsidRPr="000C7867" w:rsidRDefault="008F610B" w:rsidP="008F610B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8F610B" w:rsidRPr="000C7867" w:rsidRDefault="008F610B" w:rsidP="008F610B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8F610B" w:rsidRPr="000C7867" w:rsidRDefault="008F610B" w:rsidP="008F610B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4EC40" wp14:editId="67A83375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D7BC2" id="Connecteur droit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" strokecolor="#4579b8 [3044]" strokeweight="4.5pt">
                <v:stroke linestyle="thinThin"/>
              </v:line>
            </w:pict>
          </mc:Fallback>
        </mc:AlternateContent>
      </w:r>
    </w:p>
    <w:p w:rsidR="008F610B" w:rsidRPr="000C7867" w:rsidRDefault="008F610B" w:rsidP="008F610B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8F610B" w:rsidRPr="000C7867" w:rsidRDefault="008F610B" w:rsidP="008F610B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8F610B" w:rsidRPr="000C7867" w:rsidRDefault="008F610B" w:rsidP="008F610B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297BFA" w:rsidRPr="000C7867" w:rsidRDefault="00297BFA" w:rsidP="00297BFA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8F610B" w:rsidRPr="000C7867" w:rsidRDefault="008F610B" w:rsidP="008F610B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C62172" w:rsidRPr="000C7867" w:rsidRDefault="00677849" w:rsidP="00C62172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</w:t>
      </w:r>
      <w:r w:rsidR="00C62172"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CF No : </w:t>
      </w:r>
      <w:r w:rsidR="00C62172" w:rsidRPr="00891FA9">
        <w:rPr>
          <w:rFonts w:ascii="LouguiyaFR" w:hAnsi="LouguiyaFR"/>
          <w:b/>
          <w:bCs/>
          <w:spacing w:val="-2"/>
          <w:sz w:val="28"/>
          <w:szCs w:val="28"/>
        </w:rPr>
        <w:t>0</w:t>
      </w:r>
      <w:r w:rsidR="00C62172">
        <w:rPr>
          <w:rFonts w:ascii="LouguiyaFR" w:hAnsi="LouguiyaFR"/>
          <w:b/>
          <w:bCs/>
          <w:spacing w:val="-2"/>
          <w:sz w:val="28"/>
          <w:szCs w:val="28"/>
        </w:rPr>
        <w:t>4</w:t>
      </w:r>
      <w:r w:rsidR="00EF0121">
        <w:rPr>
          <w:rFonts w:ascii="LouguiyaFR" w:hAnsi="LouguiyaFR"/>
          <w:b/>
          <w:bCs/>
          <w:spacing w:val="-2"/>
          <w:sz w:val="28"/>
          <w:szCs w:val="28"/>
        </w:rPr>
        <w:t>4</w:t>
      </w:r>
      <w:r w:rsidR="00C62172" w:rsidRPr="00891FA9">
        <w:rPr>
          <w:rFonts w:ascii="LouguiyaFR" w:hAnsi="LouguiyaFR"/>
          <w:b/>
          <w:bCs/>
          <w:spacing w:val="-2"/>
          <w:sz w:val="28"/>
          <w:szCs w:val="28"/>
        </w:rPr>
        <w:t xml:space="preserve">/2021 </w:t>
      </w:r>
      <w:r w:rsidR="00C62172" w:rsidRPr="000C7867">
        <w:rPr>
          <w:rFonts w:ascii="LouguiyaFR" w:hAnsi="LouguiyaFR"/>
          <w:b/>
          <w:bCs/>
          <w:spacing w:val="-2"/>
          <w:sz w:val="28"/>
          <w:szCs w:val="28"/>
        </w:rPr>
        <w:t>- CI</w:t>
      </w:r>
      <w:r w:rsidR="00C62172">
        <w:rPr>
          <w:rFonts w:ascii="LouguiyaFR" w:hAnsi="LouguiyaFR"/>
          <w:b/>
          <w:bCs/>
          <w:spacing w:val="-2"/>
          <w:sz w:val="28"/>
          <w:szCs w:val="28"/>
        </w:rPr>
        <w:t>AIS</w:t>
      </w:r>
      <w:r w:rsidR="00C62172"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-MHUAT </w:t>
      </w:r>
    </w:p>
    <w:p w:rsidR="00C62172" w:rsidRPr="000C7867" w:rsidRDefault="00C62172" w:rsidP="00C62172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C62172" w:rsidRPr="000C7867" w:rsidRDefault="00C62172" w:rsidP="00C62172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>
        <w:rPr>
          <w:rFonts w:ascii="LouguiyaFR" w:eastAsia="Times New Roman" w:hAnsi="LouguiyaFR"/>
          <w:b/>
          <w:sz w:val="22"/>
          <w:szCs w:val="22"/>
        </w:rPr>
        <w:t xml:space="preserve">à </w:t>
      </w:r>
      <w:r w:rsidR="00EF0121">
        <w:rPr>
          <w:rFonts w:ascii="LouguiyaFR" w:eastAsia="Times New Roman" w:hAnsi="LouguiyaFR"/>
          <w:b/>
          <w:sz w:val="22"/>
          <w:szCs w:val="22"/>
        </w:rPr>
        <w:t>la</w:t>
      </w:r>
      <w:r w:rsidR="00EF0121" w:rsidRPr="00EF0121">
        <w:rPr>
          <w:rFonts w:ascii="LouguiyaFR" w:eastAsia="Times New Roman" w:hAnsi="LouguiyaFR"/>
          <w:b/>
          <w:sz w:val="22"/>
          <w:szCs w:val="22"/>
        </w:rPr>
        <w:t xml:space="preserve"> réhabilitation et extension de l’école de </w:t>
      </w:r>
      <w:proofErr w:type="spellStart"/>
      <w:r w:rsidR="00EF0121" w:rsidRPr="00EF0121">
        <w:rPr>
          <w:rFonts w:ascii="LouguiyaFR" w:eastAsia="Times New Roman" w:hAnsi="LouguiyaFR"/>
          <w:b/>
          <w:sz w:val="22"/>
          <w:szCs w:val="22"/>
        </w:rPr>
        <w:t>Tekane</w:t>
      </w:r>
      <w:proofErr w:type="spellEnd"/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C62172" w:rsidRPr="000C7867" w:rsidRDefault="00C62172" w:rsidP="00C62172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C62172" w:rsidRPr="000C7867" w:rsidRDefault="00C62172" w:rsidP="00C62172">
      <w:pPr>
        <w:pStyle w:val="Paragraphedeliste"/>
        <w:numPr>
          <w:ilvl w:val="1"/>
          <w:numId w:val="13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C62172" w:rsidRPr="000C7867" w:rsidRDefault="00C62172" w:rsidP="00C62172">
      <w:pPr>
        <w:numPr>
          <w:ilvl w:val="1"/>
          <w:numId w:val="13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EF0121">
        <w:rPr>
          <w:rFonts w:ascii="LouguiyaFR" w:eastAsia="Times New Roman" w:hAnsi="LouguiyaFR"/>
          <w:sz w:val="22"/>
          <w:szCs w:val="22"/>
        </w:rPr>
        <w:t>02/11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C62172" w:rsidRPr="000C7867" w:rsidRDefault="00C62172" w:rsidP="00C62172">
      <w:pPr>
        <w:numPr>
          <w:ilvl w:val="1"/>
          <w:numId w:val="13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EF0121">
        <w:rPr>
          <w:rFonts w:ascii="LouguiyaFR" w:hAnsi="LouguiyaFR"/>
          <w:iCs/>
          <w:sz w:val="22"/>
          <w:szCs w:val="22"/>
        </w:rPr>
        <w:t>Quatre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 xml:space="preserve">(03) offres                           </w:t>
      </w:r>
    </w:p>
    <w:p w:rsidR="00C62172" w:rsidRPr="000C7867" w:rsidRDefault="00C62172" w:rsidP="00C62172">
      <w:pPr>
        <w:pStyle w:val="Paragraphedeliste"/>
        <w:numPr>
          <w:ilvl w:val="1"/>
          <w:numId w:val="13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EF0121">
        <w:rPr>
          <w:rFonts w:ascii="LouguiyaFR" w:eastAsiaTheme="minorHAnsi" w:hAnsi="LouguiyaFR" w:cstheme="minorBidi"/>
          <w:sz w:val="22"/>
          <w:szCs w:val="22"/>
          <w:lang w:eastAsia="en-US"/>
        </w:rPr>
        <w:t>20 258 438</w:t>
      </w:r>
      <w:r>
        <w:rPr>
          <w:rFonts w:ascii="LouguiyaFR" w:hAnsi="LouguiyaFR"/>
          <w:color w:val="0000CC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 xml:space="preserve">MRU TTC, délai de </w:t>
      </w:r>
      <w:r w:rsidR="00EF0121">
        <w:rPr>
          <w:rFonts w:ascii="LouguiyaFR" w:eastAsia="Times New Roman" w:hAnsi="LouguiyaFR"/>
          <w:sz w:val="22"/>
          <w:szCs w:val="22"/>
        </w:rPr>
        <w:t>08 mois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C62172" w:rsidRPr="000C7867" w:rsidRDefault="00C62172" w:rsidP="00C62172">
      <w:pPr>
        <w:pStyle w:val="Paragraphedeliste"/>
        <w:numPr>
          <w:ilvl w:val="1"/>
          <w:numId w:val="13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EF0121">
        <w:rPr>
          <w:rFonts w:ascii="LouguiyaFR" w:hAnsi="LouguiyaFR"/>
          <w:b/>
        </w:rPr>
        <w:t>TCC</w:t>
      </w:r>
      <w:r>
        <w:rPr>
          <w:rFonts w:ascii="LouguiyaFR" w:hAnsi="LouguiyaFR"/>
          <w:b/>
        </w:rPr>
        <w:t xml:space="preserve"> </w:t>
      </w:r>
      <w:r w:rsidRPr="000C7867">
        <w:rPr>
          <w:rFonts w:ascii="LouguiyaFR" w:hAnsi="LouguiyaFR"/>
          <w:b/>
        </w:rPr>
        <w:t xml:space="preserve">  </w:t>
      </w:r>
      <w:r w:rsidRPr="000C7867" w:rsidDel="00F128D9">
        <w:rPr>
          <w:rFonts w:ascii="LouguiyaFR" w:hAnsi="LouguiyaFR"/>
          <w:b/>
        </w:rPr>
        <w:t xml:space="preserve"> </w:t>
      </w:r>
    </w:p>
    <w:p w:rsidR="00C62172" w:rsidRPr="00D275F6" w:rsidRDefault="00C62172" w:rsidP="00C62172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D275F6">
        <w:rPr>
          <w:rFonts w:ascii="LouguiyaFR" w:hAnsi="LouguiyaFR"/>
          <w:sz w:val="22"/>
          <w:szCs w:val="22"/>
        </w:rPr>
        <w:t xml:space="preserve">Adresse : </w:t>
      </w:r>
      <w:r w:rsidR="00145136">
        <w:rPr>
          <w:rFonts w:ascii="LouguiyaFR" w:hAnsi="LouguiyaFR"/>
          <w:sz w:val="22"/>
          <w:szCs w:val="22"/>
        </w:rPr>
        <w:t>NOT SOCO n°2242</w:t>
      </w:r>
      <w:r w:rsidRPr="00D275F6">
        <w:rPr>
          <w:rFonts w:ascii="LouguiyaFR" w:hAnsi="LouguiyaFR"/>
          <w:sz w:val="22"/>
          <w:szCs w:val="22"/>
        </w:rPr>
        <w:t xml:space="preserve"> - Nouakchott- </w:t>
      </w:r>
    </w:p>
    <w:p w:rsidR="00C62172" w:rsidRPr="00D275F6" w:rsidRDefault="00C62172" w:rsidP="00C62172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D275F6">
        <w:rPr>
          <w:rFonts w:ascii="LouguiyaFR" w:hAnsi="LouguiyaFR"/>
          <w:sz w:val="22"/>
          <w:szCs w:val="22"/>
        </w:rPr>
        <w:t>Tel : +222 </w:t>
      </w:r>
      <w:r w:rsidR="00145136">
        <w:rPr>
          <w:rFonts w:ascii="LouguiyaFR" w:hAnsi="LouguiyaFR"/>
          <w:sz w:val="22"/>
          <w:szCs w:val="22"/>
        </w:rPr>
        <w:t>22 36 27 44</w:t>
      </w:r>
      <w:r w:rsidRPr="00D275F6">
        <w:rPr>
          <w:rFonts w:ascii="LouguiyaFR" w:hAnsi="LouguiyaFR"/>
          <w:sz w:val="22"/>
          <w:szCs w:val="22"/>
        </w:rPr>
        <w:t xml:space="preserve"> – </w:t>
      </w:r>
      <w:r w:rsidR="00145136">
        <w:rPr>
          <w:rFonts w:ascii="LouguiyaFR" w:hAnsi="LouguiyaFR"/>
          <w:sz w:val="22"/>
          <w:szCs w:val="22"/>
        </w:rPr>
        <w:t>27 85 20 07</w:t>
      </w:r>
    </w:p>
    <w:p w:rsidR="00C62172" w:rsidRPr="000C7867" w:rsidRDefault="00C62172" w:rsidP="00C62172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677849" w:rsidRPr="000C7867" w:rsidRDefault="00677849" w:rsidP="00C62172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677849" w:rsidRPr="000C7867" w:rsidRDefault="00677849" w:rsidP="00677849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677849" w:rsidRPr="000C7867" w:rsidRDefault="00677849" w:rsidP="00677849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677849" w:rsidRPr="000C7867" w:rsidRDefault="00677849" w:rsidP="00677849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 w:rsidR="008D2070">
        <w:rPr>
          <w:rFonts w:ascii="LouguiyaFR" w:hAnsi="LouguiyaFR"/>
          <w:b/>
          <w:sz w:val="22"/>
          <w:szCs w:val="22"/>
        </w:rPr>
        <w:t>10</w:t>
      </w:r>
      <w:r w:rsidR="00C62172">
        <w:rPr>
          <w:rFonts w:ascii="LouguiyaFR" w:hAnsi="LouguiyaFR"/>
          <w:b/>
          <w:sz w:val="22"/>
          <w:szCs w:val="22"/>
        </w:rPr>
        <w:t>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677849" w:rsidRPr="000C7867" w:rsidRDefault="00677849" w:rsidP="00677849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677849" w:rsidRPr="000C7867" w:rsidRDefault="00677849" w:rsidP="00677849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D46B68" w:rsidRDefault="00D46B68" w:rsidP="008F610B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8D2070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  <w:bookmarkStart w:id="0" w:name="_GoBack"/>
      <w:bookmarkEnd w:id="0"/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uguiyaFR">
    <w:panose1 w:val="020B06020304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9"/>
  </w:num>
  <w:num w:numId="8">
    <w:abstractNumId w:val="17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D0"/>
    <w:rsid w:val="000259C0"/>
    <w:rsid w:val="000321DF"/>
    <w:rsid w:val="0004042A"/>
    <w:rsid w:val="0005266C"/>
    <w:rsid w:val="00074E54"/>
    <w:rsid w:val="000A09D6"/>
    <w:rsid w:val="000C7867"/>
    <w:rsid w:val="000F28CE"/>
    <w:rsid w:val="0014105B"/>
    <w:rsid w:val="00145136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16049"/>
    <w:rsid w:val="00223BD4"/>
    <w:rsid w:val="00232E8F"/>
    <w:rsid w:val="00297BFA"/>
    <w:rsid w:val="002B653C"/>
    <w:rsid w:val="002C07E7"/>
    <w:rsid w:val="002C5C43"/>
    <w:rsid w:val="00334DA9"/>
    <w:rsid w:val="00347868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71140"/>
    <w:rsid w:val="004722D2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E44EC"/>
    <w:rsid w:val="006300A5"/>
    <w:rsid w:val="006651CC"/>
    <w:rsid w:val="00673523"/>
    <w:rsid w:val="00677849"/>
    <w:rsid w:val="006A29B5"/>
    <w:rsid w:val="006B6C2B"/>
    <w:rsid w:val="006E78CF"/>
    <w:rsid w:val="00710F58"/>
    <w:rsid w:val="007135CF"/>
    <w:rsid w:val="007275C7"/>
    <w:rsid w:val="00747448"/>
    <w:rsid w:val="007540D6"/>
    <w:rsid w:val="00757C64"/>
    <w:rsid w:val="00767495"/>
    <w:rsid w:val="007A0097"/>
    <w:rsid w:val="007B1279"/>
    <w:rsid w:val="007C2119"/>
    <w:rsid w:val="007E33ED"/>
    <w:rsid w:val="007E3C25"/>
    <w:rsid w:val="0082002C"/>
    <w:rsid w:val="00827DD0"/>
    <w:rsid w:val="008307D0"/>
    <w:rsid w:val="00830D68"/>
    <w:rsid w:val="00873091"/>
    <w:rsid w:val="00874714"/>
    <w:rsid w:val="00891FA9"/>
    <w:rsid w:val="008D02C5"/>
    <w:rsid w:val="008D2070"/>
    <w:rsid w:val="008F610B"/>
    <w:rsid w:val="00914906"/>
    <w:rsid w:val="00926F1B"/>
    <w:rsid w:val="0094683A"/>
    <w:rsid w:val="009A1BF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5075"/>
    <w:rsid w:val="00B549FD"/>
    <w:rsid w:val="00B67CCC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4DF6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104E3"/>
    <w:rsid w:val="00E27D86"/>
    <w:rsid w:val="00E37E42"/>
    <w:rsid w:val="00E51051"/>
    <w:rsid w:val="00E7034C"/>
    <w:rsid w:val="00E713DB"/>
    <w:rsid w:val="00E727A6"/>
    <w:rsid w:val="00E833CF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15A3-135D-4606-8A0C-1F5E4B13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Compte Microsoft</cp:lastModifiedBy>
  <cp:revision>7</cp:revision>
  <cp:lastPrinted>2021-11-09T11:10:00Z</cp:lastPrinted>
  <dcterms:created xsi:type="dcterms:W3CDTF">2021-11-15T09:48:00Z</dcterms:created>
  <dcterms:modified xsi:type="dcterms:W3CDTF">2021-11-15T09:52:00Z</dcterms:modified>
</cp:coreProperties>
</file>