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3E" w:rsidRDefault="00F53E3E" w:rsidP="00F53E3E">
      <w:pPr>
        <w:tabs>
          <w:tab w:val="left" w:pos="9900"/>
        </w:tabs>
        <w:spacing w:before="120" w:after="60" w:line="360" w:lineRule="auto"/>
        <w:ind w:left="57"/>
        <w:jc w:val="center"/>
        <w:rPr>
          <w:b/>
          <w:smallCaps/>
        </w:rPr>
      </w:pPr>
      <w:r>
        <w:rPr>
          <w:b/>
          <w:smallCaps/>
        </w:rPr>
        <w:t>REPUBLIQUE ISLAMIQUE DE MAURITANIE</w:t>
      </w:r>
    </w:p>
    <w:p w:rsidR="00F53E3E" w:rsidRDefault="00F53E3E" w:rsidP="00F53E3E">
      <w:pPr>
        <w:spacing w:before="25"/>
        <w:ind w:left="1323" w:right="1322"/>
        <w:jc w:val="center"/>
        <w:rPr>
          <w:b/>
          <w:bCs/>
          <w:color w:val="000000"/>
          <w:spacing w:val="4"/>
        </w:rPr>
      </w:pPr>
      <w:r>
        <w:rPr>
          <w:b/>
          <w:bCs/>
          <w:color w:val="000000"/>
          <w:spacing w:val="4"/>
        </w:rPr>
        <w:t>MINISTERE DE LA TRANSITION NUMERIQUE, DE L’INNOVATION ET DE LA MODERNISATION DE L’ADMINISTRATION (MTNIMA)</w:t>
      </w:r>
    </w:p>
    <w:p w:rsidR="00F53E3E" w:rsidRDefault="00F53E3E" w:rsidP="00F53E3E">
      <w:pPr>
        <w:spacing w:line="200" w:lineRule="exact"/>
        <w:rPr>
          <w:color w:val="000000"/>
        </w:rPr>
      </w:pPr>
    </w:p>
    <w:p w:rsidR="00F53E3E" w:rsidRDefault="00F53E3E" w:rsidP="00F53E3E">
      <w:pPr>
        <w:spacing w:before="25"/>
        <w:ind w:left="1323" w:right="1322"/>
        <w:jc w:val="center"/>
      </w:pPr>
      <w:r>
        <w:rPr>
          <w:b/>
          <w:bCs/>
          <w:color w:val="000000"/>
          <w:spacing w:val="-8"/>
        </w:rPr>
        <w:t>A</w:t>
      </w:r>
      <w:r>
        <w:rPr>
          <w:b/>
          <w:bCs/>
          <w:color w:val="000000"/>
        </w:rPr>
        <w:t>V</w:t>
      </w:r>
      <w:r>
        <w:rPr>
          <w:b/>
          <w:bCs/>
          <w:color w:val="000000"/>
          <w:spacing w:val="1"/>
        </w:rPr>
        <w:t>I</w:t>
      </w:r>
      <w:r>
        <w:rPr>
          <w:b/>
          <w:bCs/>
          <w:color w:val="000000"/>
        </w:rPr>
        <w:t>S</w:t>
      </w:r>
      <w:r>
        <w:rPr>
          <w:b/>
          <w:bCs/>
          <w:color w:val="000000"/>
          <w:spacing w:val="2"/>
        </w:rPr>
        <w:t xml:space="preserve"> </w:t>
      </w:r>
      <w:r>
        <w:rPr>
          <w:b/>
          <w:bCs/>
          <w:color w:val="000000"/>
          <w:spacing w:val="-1"/>
        </w:rPr>
        <w:t>D</w:t>
      </w:r>
      <w:r>
        <w:rPr>
          <w:b/>
          <w:bCs/>
          <w:color w:val="000000"/>
          <w:spacing w:val="4"/>
        </w:rPr>
        <w:t>’</w:t>
      </w:r>
      <w:r>
        <w:rPr>
          <w:b/>
          <w:bCs/>
          <w:color w:val="000000"/>
          <w:spacing w:val="-6"/>
        </w:rPr>
        <w:t>A</w:t>
      </w:r>
      <w:r>
        <w:rPr>
          <w:b/>
          <w:bCs/>
          <w:color w:val="000000"/>
        </w:rPr>
        <w:t xml:space="preserve">PPEL </w:t>
      </w:r>
      <w:r>
        <w:rPr>
          <w:b/>
          <w:bCs/>
          <w:color w:val="000000"/>
          <w:spacing w:val="-1"/>
        </w:rPr>
        <w:t>D</w:t>
      </w:r>
      <w:r>
        <w:rPr>
          <w:b/>
          <w:bCs/>
          <w:color w:val="000000"/>
          <w:spacing w:val="1"/>
        </w:rPr>
        <w:t>’</w:t>
      </w:r>
      <w:r>
        <w:rPr>
          <w:b/>
          <w:bCs/>
          <w:color w:val="000000"/>
        </w:rPr>
        <w:t>O</w:t>
      </w:r>
      <w:r>
        <w:rPr>
          <w:b/>
          <w:bCs/>
          <w:color w:val="000000"/>
          <w:spacing w:val="-1"/>
        </w:rPr>
        <w:t>FFR</w:t>
      </w:r>
      <w:r>
        <w:rPr>
          <w:b/>
          <w:bCs/>
          <w:color w:val="000000"/>
        </w:rPr>
        <w:t>ES</w:t>
      </w:r>
      <w:r>
        <w:rPr>
          <w:b/>
          <w:bCs/>
          <w:color w:val="000000"/>
          <w:spacing w:val="4"/>
        </w:rPr>
        <w:t xml:space="preserve"> NATIONAL EN UN SEUL LOT</w:t>
      </w:r>
    </w:p>
    <w:p w:rsidR="00F53E3E" w:rsidRDefault="00F53E3E" w:rsidP="00F53E3E">
      <w:pPr>
        <w:spacing w:line="200" w:lineRule="exact"/>
        <w:rPr>
          <w:color w:val="000000"/>
        </w:rPr>
      </w:pPr>
    </w:p>
    <w:p w:rsidR="00F53E3E" w:rsidRDefault="00F53E3E" w:rsidP="00F53E3E">
      <w:pPr>
        <w:jc w:val="center"/>
        <w:rPr>
          <w:b/>
          <w:smallCaps/>
        </w:rPr>
      </w:pPr>
      <w:r>
        <w:rPr>
          <w:b/>
          <w:smallCaps/>
        </w:rPr>
        <w:t>POUR :</w:t>
      </w:r>
    </w:p>
    <w:p w:rsidR="00F53E3E" w:rsidRDefault="00F53E3E" w:rsidP="00F53E3E">
      <w:pPr>
        <w:spacing w:before="25"/>
        <w:ind w:left="1323" w:right="1322"/>
        <w:jc w:val="center"/>
        <w:rPr>
          <w:b/>
          <w:bCs/>
          <w:color w:val="000000"/>
        </w:rPr>
      </w:pPr>
      <w:r w:rsidRPr="000F6815">
        <w:rPr>
          <w:b/>
          <w:bCs/>
          <w:color w:val="000000"/>
        </w:rPr>
        <w:t>MISE A JOUR DES LICENCES DE SECURITE DE L'ADMINISTRATION</w:t>
      </w:r>
      <w:r>
        <w:rPr>
          <w:b/>
          <w:bCs/>
          <w:color w:val="000000"/>
        </w:rPr>
        <w:t xml:space="preserve"> </w:t>
      </w:r>
    </w:p>
    <w:p w:rsidR="00F53E3E" w:rsidRDefault="00F53E3E" w:rsidP="00F53E3E">
      <w:pPr>
        <w:spacing w:line="200" w:lineRule="exact"/>
        <w:rPr>
          <w:color w:val="000000"/>
        </w:rPr>
      </w:pPr>
    </w:p>
    <w:p w:rsidR="00F53E3E" w:rsidRPr="00897BBB" w:rsidRDefault="00F53E3E" w:rsidP="00F53E3E">
      <w:pPr>
        <w:suppressAutoHyphens/>
        <w:spacing w:after="120"/>
        <w:jc w:val="right"/>
        <w:textAlignment w:val="baseline"/>
        <w:rPr>
          <w:b/>
          <w:smallCaps/>
          <w:u w:val="single"/>
        </w:rPr>
      </w:pPr>
      <w:r>
        <w:rPr>
          <w:b/>
          <w:smallCaps/>
          <w:u w:val="single"/>
        </w:rPr>
        <w:t>DAO 04</w:t>
      </w:r>
      <w:r w:rsidRPr="00897BBB">
        <w:rPr>
          <w:b/>
          <w:smallCaps/>
          <w:u w:val="single"/>
        </w:rPr>
        <w:t>/ MTNIMA/2022</w:t>
      </w:r>
    </w:p>
    <w:p w:rsidR="00F53E3E" w:rsidRPr="00C73D16"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0258A6">
        <w:rPr>
          <w:rFonts w:asciiTheme="majorBidi" w:hAnsiTheme="majorBidi" w:cstheme="majorBidi"/>
        </w:rPr>
        <w:t>Le Ministère de la Transition Numérique, de l’Innovation et de la Modernisation de l’Administration (MTNIMA) compte financer, sur son budget d’investissement,</w:t>
      </w:r>
      <w:r w:rsidRPr="00C73D16">
        <w:rPr>
          <w:rFonts w:asciiTheme="majorBidi" w:hAnsiTheme="majorBidi" w:cstheme="majorBidi"/>
        </w:rPr>
        <w:t xml:space="preserve"> la</w:t>
      </w:r>
      <w:r>
        <w:rPr>
          <w:rFonts w:asciiTheme="majorBidi" w:hAnsiTheme="majorBidi" w:cstheme="majorBidi"/>
        </w:rPr>
        <w:t xml:space="preserve"> Mise à jour des licences de Sécurité de l’Administration</w:t>
      </w:r>
      <w:r w:rsidRPr="00C73D16">
        <w:rPr>
          <w:rFonts w:asciiTheme="majorBidi" w:hAnsiTheme="majorBidi" w:cstheme="majorBidi"/>
        </w:rPr>
        <w:t>.</w:t>
      </w:r>
    </w:p>
    <w:p w:rsidR="00F53E3E" w:rsidRDefault="00F53E3E" w:rsidP="00F53E3E">
      <w:pPr>
        <w:pStyle w:val="Paragraphedeliste"/>
        <w:spacing w:after="120" w:line="276" w:lineRule="auto"/>
        <w:jc w:val="both"/>
        <w:rPr>
          <w:rFonts w:asciiTheme="majorBidi" w:hAnsiTheme="majorBidi" w:cstheme="majorBidi"/>
        </w:rPr>
      </w:pPr>
      <w:r w:rsidRPr="002B5893">
        <w:rPr>
          <w:rFonts w:asciiTheme="majorBidi" w:hAnsiTheme="majorBidi" w:cstheme="majorBidi"/>
        </w:rPr>
        <w:t>Les produits et services seront fournis à</w:t>
      </w:r>
      <w:r>
        <w:rPr>
          <w:rFonts w:asciiTheme="majorBidi" w:hAnsiTheme="majorBidi" w:cstheme="majorBidi"/>
        </w:rPr>
        <w:t xml:space="preserve"> la Direction de l’Administration des </w:t>
      </w:r>
      <w:r>
        <w:rPr>
          <w:rFonts w:asciiTheme="majorBidi" w:hAnsiTheme="majorBidi" w:cstheme="majorBidi"/>
        </w:rPr>
        <w:t>Systèmes</w:t>
      </w:r>
      <w:bookmarkStart w:id="0" w:name="_GoBack"/>
      <w:bookmarkEnd w:id="0"/>
      <w:r>
        <w:rPr>
          <w:rFonts w:asciiTheme="majorBidi" w:hAnsiTheme="majorBidi" w:cstheme="majorBidi"/>
        </w:rPr>
        <w:t xml:space="preserve"> et de la Sécurité à </w:t>
      </w:r>
      <w:r w:rsidRPr="002B5893">
        <w:rPr>
          <w:rFonts w:asciiTheme="majorBidi" w:hAnsiTheme="majorBidi" w:cstheme="majorBidi"/>
        </w:rPr>
        <w:t>Nouakchott,</w:t>
      </w:r>
      <w:r w:rsidRPr="000F6815">
        <w:rPr>
          <w:spacing w:val="-1"/>
          <w:lang w:val="x-none"/>
        </w:rPr>
        <w:t xml:space="preserve"> </w:t>
      </w:r>
      <w:r w:rsidRPr="00EF766C">
        <w:rPr>
          <w:spacing w:val="-1"/>
          <w:lang w:val="x-none"/>
        </w:rPr>
        <w:t xml:space="preserve">sis à l’immeuble </w:t>
      </w:r>
      <w:r>
        <w:rPr>
          <w:spacing w:val="-1"/>
        </w:rPr>
        <w:t xml:space="preserve">des </w:t>
      </w:r>
      <w:r>
        <w:rPr>
          <w:spacing w:val="-1"/>
        </w:rPr>
        <w:t>Ministères</w:t>
      </w:r>
      <w:r>
        <w:rPr>
          <w:spacing w:val="-1"/>
        </w:rPr>
        <w:t xml:space="preserve"> N°2 </w:t>
      </w:r>
      <w:r w:rsidRPr="002B5893">
        <w:rPr>
          <w:rFonts w:asciiTheme="majorBidi" w:hAnsiTheme="majorBidi" w:cstheme="majorBidi"/>
        </w:rPr>
        <w:t xml:space="preserve">dans un délai ne dépassant pas </w:t>
      </w:r>
      <w:r>
        <w:rPr>
          <w:rFonts w:asciiTheme="majorBidi" w:hAnsiTheme="majorBidi" w:cstheme="majorBidi"/>
        </w:rPr>
        <w:t>3</w:t>
      </w:r>
      <w:r w:rsidRPr="002B5893">
        <w:rPr>
          <w:rFonts w:asciiTheme="majorBidi" w:hAnsiTheme="majorBidi" w:cstheme="majorBidi"/>
        </w:rPr>
        <w:t xml:space="preserve"> </w:t>
      </w:r>
      <w:r>
        <w:rPr>
          <w:rFonts w:asciiTheme="majorBidi" w:hAnsiTheme="majorBidi" w:cstheme="majorBidi"/>
        </w:rPr>
        <w:t>mois.</w:t>
      </w:r>
    </w:p>
    <w:p w:rsidR="00F53E3E" w:rsidRPr="0019023B" w:rsidRDefault="00F53E3E" w:rsidP="00F53E3E">
      <w:pPr>
        <w:widowControl/>
        <w:rPr>
          <w:rFonts w:ascii="Calibri" w:eastAsia="Calibri" w:hAnsi="Calibri" w:cs="Calibri"/>
          <w:color w:val="000000"/>
        </w:rPr>
      </w:pPr>
    </w:p>
    <w:p w:rsidR="00F53E3E"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19023B">
        <w:rPr>
          <w:rFonts w:ascii="Calibri" w:eastAsia="Calibri" w:hAnsi="Calibri" w:cs="Calibri"/>
          <w:color w:val="000000"/>
        </w:rPr>
        <w:t xml:space="preserve"> </w:t>
      </w:r>
      <w:r w:rsidRPr="0019023B">
        <w:rPr>
          <w:rFonts w:asciiTheme="majorBidi" w:hAnsiTheme="majorBidi" w:cstheme="majorBidi"/>
        </w:rPr>
        <w:t>Le MTNIMA sollicite des offres, sous plis fermés, de la part des candidats éligibles et répondant aux qualifications requises pour fournir des licences en acquisition ou en renouvellement de pare-feu modernes, d’anti-virus et services connexes liés à la sécurité de la plateforme informatique de l’Administration, les variantes ne seront pas prises en considération. Les offres devront être déposées sous pli fermé, de la part des candidats éligibles et répondant aux qualifications requises pour fournir les biens et services relatifs à ce marché</w:t>
      </w:r>
    </w:p>
    <w:p w:rsidR="00F53E3E" w:rsidRPr="00DC2254"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DC2254">
        <w:rPr>
          <w:rFonts w:asciiTheme="majorBidi" w:hAnsiTheme="majorBidi" w:cstheme="majorBidi"/>
        </w:rPr>
        <w:t>Le présent appel d’offres</w:t>
      </w:r>
      <w:r>
        <w:rPr>
          <w:rFonts w:asciiTheme="majorBidi" w:hAnsiTheme="majorBidi" w:cstheme="majorBidi"/>
        </w:rPr>
        <w:t xml:space="preserve"> est un Appel d’offres national.</w:t>
      </w:r>
    </w:p>
    <w:p w:rsidR="00F53E3E" w:rsidRPr="0019023B"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19023B">
        <w:rPr>
          <w:rFonts w:asciiTheme="majorBidi" w:hAnsiTheme="majorBidi" w:cstheme="majorBidi"/>
        </w:rPr>
        <w:t xml:space="preserve">Les candidats intéressés peuvent obtenir des informations auprès du : Ministère de la Transition numérique, de l’Innovation et de la Modernisation de l’Administration (MTNIMA), Direction de l’Administration des Systèmes et de la Sécurité, Immeuble des Ministère N° 2, Nouakchott – Mauritanie, Tél. +(222) 45 25 38 13 ; e-mail : </w:t>
      </w:r>
      <w:hyperlink r:id="rId5" w:history="1">
        <w:r w:rsidRPr="0019023B">
          <w:rPr>
            <w:rStyle w:val="Lienhypertexte"/>
            <w:rFonts w:asciiTheme="majorBidi" w:hAnsiTheme="majorBidi" w:cstheme="majorBidi"/>
          </w:rPr>
          <w:t>info-mtnima@mtnima.gov.mr</w:t>
        </w:r>
      </w:hyperlink>
      <w:r w:rsidRPr="0019023B">
        <w:rPr>
          <w:rFonts w:asciiTheme="majorBidi" w:hAnsiTheme="majorBidi" w:cstheme="majorBidi"/>
        </w:rPr>
        <w:t>.</w:t>
      </w:r>
    </w:p>
    <w:p w:rsidR="00F53E3E" w:rsidRPr="00C73D16"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0258A6">
        <w:rPr>
          <w:rFonts w:asciiTheme="majorBidi" w:hAnsiTheme="majorBidi" w:cstheme="majorBidi"/>
        </w:rPr>
        <w:t>Les demandes d’éclaircissements devraient parvenir au Maître d’Ouvrage, au plus tard 14 jours avant la date limite de remise des offres, à l’adresse ci-dessus.</w:t>
      </w:r>
    </w:p>
    <w:p w:rsidR="00F53E3E" w:rsidRPr="002B5893"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2B5893">
        <w:rPr>
          <w:rFonts w:asciiTheme="majorBidi" w:hAnsiTheme="majorBidi" w:cstheme="majorBidi"/>
        </w:rPr>
        <w:t>Les exigences minimales en matière de qualification sont :</w:t>
      </w:r>
    </w:p>
    <w:p w:rsidR="00F53E3E" w:rsidRPr="00870295" w:rsidRDefault="00F53E3E" w:rsidP="00F53E3E">
      <w:pPr>
        <w:pStyle w:val="Paragraphedeliste"/>
        <w:widowControl/>
        <w:numPr>
          <w:ilvl w:val="0"/>
          <w:numId w:val="2"/>
        </w:numPr>
        <w:autoSpaceDE/>
        <w:autoSpaceDN/>
        <w:adjustRightInd/>
        <w:spacing w:after="120" w:line="276" w:lineRule="auto"/>
        <w:contextualSpacing/>
        <w:jc w:val="both"/>
        <w:rPr>
          <w:rFonts w:asciiTheme="majorBidi" w:hAnsiTheme="majorBidi" w:cstheme="majorBidi"/>
        </w:rPr>
      </w:pPr>
      <w:r w:rsidRPr="00870295">
        <w:rPr>
          <w:rFonts w:asciiTheme="majorBidi" w:hAnsiTheme="majorBidi" w:cstheme="majorBidi"/>
        </w:rPr>
        <w:t>Le chiffre d’affaires annuel m</w:t>
      </w:r>
      <w:r>
        <w:rPr>
          <w:rFonts w:asciiTheme="majorBidi" w:hAnsiTheme="majorBidi" w:cstheme="majorBidi"/>
        </w:rPr>
        <w:t>oyen du Candidat sur les Trois (3</w:t>
      </w:r>
      <w:r w:rsidRPr="00870295">
        <w:rPr>
          <w:rFonts w:asciiTheme="majorBidi" w:hAnsiTheme="majorBidi" w:cstheme="majorBidi"/>
        </w:rPr>
        <w:t xml:space="preserve">) dernières années </w:t>
      </w:r>
      <w:proofErr w:type="gramStart"/>
      <w:r w:rsidRPr="00870295">
        <w:rPr>
          <w:rFonts w:asciiTheme="majorBidi" w:hAnsiTheme="majorBidi" w:cstheme="majorBidi"/>
        </w:rPr>
        <w:t>doit</w:t>
      </w:r>
      <w:proofErr w:type="gramEnd"/>
      <w:r w:rsidRPr="00870295">
        <w:rPr>
          <w:rFonts w:asciiTheme="majorBidi" w:hAnsiTheme="majorBidi" w:cstheme="majorBidi"/>
        </w:rPr>
        <w:t xml:space="preserve"> être égal ou supérieur à </w:t>
      </w:r>
      <w:r>
        <w:rPr>
          <w:rFonts w:asciiTheme="majorBidi" w:hAnsiTheme="majorBidi" w:cstheme="majorBidi"/>
        </w:rPr>
        <w:t>quatre millions cinq cent</w:t>
      </w:r>
      <w:r w:rsidRPr="00870295">
        <w:rPr>
          <w:rFonts w:asciiTheme="majorBidi" w:hAnsiTheme="majorBidi" w:cstheme="majorBidi"/>
        </w:rPr>
        <w:t xml:space="preserve"> ouguiyas (</w:t>
      </w:r>
      <w:r>
        <w:rPr>
          <w:rFonts w:asciiTheme="majorBidi" w:hAnsiTheme="majorBidi" w:cstheme="majorBidi"/>
        </w:rPr>
        <w:t>4 500</w:t>
      </w:r>
      <w:r w:rsidRPr="00870295">
        <w:rPr>
          <w:rFonts w:asciiTheme="majorBidi" w:hAnsiTheme="majorBidi" w:cstheme="majorBidi"/>
        </w:rPr>
        <w:t xml:space="preserve"> 000 MRU) ou son équivalent en d’autres monnaies convertibles. </w:t>
      </w:r>
    </w:p>
    <w:p w:rsidR="00F53E3E" w:rsidRPr="00870295" w:rsidRDefault="00F53E3E" w:rsidP="00F53E3E">
      <w:pPr>
        <w:pStyle w:val="Paragraphedeliste"/>
        <w:widowControl/>
        <w:numPr>
          <w:ilvl w:val="0"/>
          <w:numId w:val="2"/>
        </w:numPr>
        <w:autoSpaceDE/>
        <w:autoSpaceDN/>
        <w:adjustRightInd/>
        <w:spacing w:after="120" w:line="276" w:lineRule="auto"/>
        <w:contextualSpacing/>
        <w:jc w:val="both"/>
        <w:rPr>
          <w:rFonts w:asciiTheme="majorBidi" w:hAnsiTheme="majorBidi" w:cstheme="majorBidi"/>
        </w:rPr>
      </w:pPr>
      <w:r w:rsidRPr="00870295">
        <w:rPr>
          <w:rFonts w:asciiTheme="majorBidi" w:hAnsiTheme="majorBidi" w:cstheme="majorBidi"/>
        </w:rPr>
        <w:t xml:space="preserve">Le Candidat doit justifier d’une capacité d’autofinancement pour un </w:t>
      </w:r>
      <w:r>
        <w:rPr>
          <w:rFonts w:asciiTheme="majorBidi" w:hAnsiTheme="majorBidi" w:cstheme="majorBidi"/>
        </w:rPr>
        <w:t>montant de deux millions (2</w:t>
      </w:r>
      <w:r w:rsidRPr="00870295">
        <w:rPr>
          <w:rFonts w:asciiTheme="majorBidi" w:hAnsiTheme="majorBidi" w:cstheme="majorBidi"/>
        </w:rPr>
        <w:t xml:space="preserve"> 000 000) MRU.</w:t>
      </w:r>
    </w:p>
    <w:p w:rsidR="00F53E3E" w:rsidRPr="00870295" w:rsidRDefault="00F53E3E" w:rsidP="00F53E3E">
      <w:pPr>
        <w:pStyle w:val="Paragraphedeliste"/>
        <w:widowControl/>
        <w:numPr>
          <w:ilvl w:val="0"/>
          <w:numId w:val="2"/>
        </w:numPr>
        <w:autoSpaceDE/>
        <w:autoSpaceDN/>
        <w:adjustRightInd/>
        <w:spacing w:after="120" w:line="276" w:lineRule="auto"/>
        <w:contextualSpacing/>
        <w:jc w:val="both"/>
        <w:rPr>
          <w:rFonts w:asciiTheme="majorBidi" w:hAnsiTheme="majorBidi" w:cstheme="majorBidi"/>
        </w:rPr>
      </w:pPr>
      <w:r w:rsidRPr="00870295">
        <w:rPr>
          <w:rFonts w:asciiTheme="majorBidi" w:hAnsiTheme="majorBidi" w:cstheme="majorBidi"/>
        </w:rPr>
        <w:t>Le candidat doit avoir réalisé au moins Un (1) marché de même nature, de même envergure et de même complexité sur les Cinq (5) dernières années.</w:t>
      </w:r>
    </w:p>
    <w:p w:rsidR="00F53E3E" w:rsidRPr="00870295"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 dossier d’appel d’offres complet peut être obtenu sur demande à l’adresse susmentionnée et contre paiement d’</w:t>
      </w:r>
      <w:r>
        <w:rPr>
          <w:rFonts w:asciiTheme="majorBidi" w:hAnsiTheme="majorBidi" w:cstheme="majorBidi"/>
        </w:rPr>
        <w:t>un montant non remboursable de 3</w:t>
      </w:r>
      <w:r w:rsidRPr="00870295">
        <w:rPr>
          <w:rFonts w:asciiTheme="majorBidi" w:hAnsiTheme="majorBidi" w:cstheme="majorBidi"/>
        </w:rPr>
        <w:t xml:space="preserve"> 000 MRU ou son équivalent en toute autre monnaie libremen</w:t>
      </w:r>
      <w:r>
        <w:rPr>
          <w:rFonts w:asciiTheme="majorBidi" w:hAnsiTheme="majorBidi" w:cstheme="majorBidi"/>
        </w:rPr>
        <w:t xml:space="preserve">t convertible </w:t>
      </w:r>
      <w:r w:rsidRPr="00870295">
        <w:rPr>
          <w:rFonts w:asciiTheme="majorBidi" w:hAnsiTheme="majorBidi" w:cstheme="majorBidi"/>
        </w:rPr>
        <w:t xml:space="preserve">au Trésor Public. </w:t>
      </w:r>
    </w:p>
    <w:p w:rsidR="00F53E3E" w:rsidRPr="00870295"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lastRenderedPageBreak/>
        <w:t>Le document d’Appel d’offres sera immédiatement remis aux candidats intéressés ou adressé à leur frais en utilisant le mode d’acheminement qu’ils auraient choisis.</w:t>
      </w:r>
    </w:p>
    <w:p w:rsidR="00F53E3E" w:rsidRPr="00870295"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Les offres devront être rédigées en langue française et devront être déposées à l’adresse indiquée dans</w:t>
      </w:r>
      <w:r>
        <w:rPr>
          <w:rFonts w:asciiTheme="majorBidi" w:hAnsiTheme="majorBidi" w:cstheme="majorBidi"/>
        </w:rPr>
        <w:t xml:space="preserve"> le DAO au plus tard le Mardi 20</w:t>
      </w:r>
      <w:r w:rsidRPr="00870295">
        <w:rPr>
          <w:rFonts w:asciiTheme="majorBidi" w:hAnsiTheme="majorBidi" w:cstheme="majorBidi"/>
        </w:rPr>
        <w:t xml:space="preserve"> Septembre 2022 à 12 :00 GMT. Les offres qui ne parviendront pas aux heures et date ci-dessus indiquées, seront rejetées et retournées aux frais des soumissionnaires concernés, sans être ouvertes. Les offres seront ouvertes, en présence des représentants des Soumissionnaires qui désirent assister à l’ouverture des plis et, à l’adresse :</w:t>
      </w:r>
    </w:p>
    <w:p w:rsidR="00F53E3E" w:rsidRPr="00870295" w:rsidRDefault="00F53E3E" w:rsidP="00F53E3E">
      <w:pPr>
        <w:spacing w:after="120" w:line="276" w:lineRule="auto"/>
        <w:jc w:val="center"/>
        <w:rPr>
          <w:rFonts w:asciiTheme="majorBidi" w:hAnsiTheme="majorBidi" w:cstheme="majorBidi"/>
        </w:rPr>
      </w:pPr>
      <w:r w:rsidRPr="00870295">
        <w:rPr>
          <w:rFonts w:asciiTheme="majorBidi" w:hAnsiTheme="majorBidi" w:cstheme="majorBidi"/>
        </w:rPr>
        <w:t>Commission de Passation des Marché du Ministère de la Transition Numérique, de l’Innovation et de la Modernisation de l’Administration (MTNIMA)</w:t>
      </w:r>
    </w:p>
    <w:p w:rsidR="00F53E3E" w:rsidRPr="00870295" w:rsidRDefault="00F53E3E" w:rsidP="00F53E3E">
      <w:pPr>
        <w:spacing w:after="120" w:line="276" w:lineRule="auto"/>
        <w:jc w:val="center"/>
        <w:rPr>
          <w:rFonts w:asciiTheme="majorBidi" w:hAnsiTheme="majorBidi" w:cstheme="majorBidi"/>
        </w:rPr>
      </w:pPr>
      <w:r w:rsidRPr="00870295">
        <w:rPr>
          <w:rFonts w:asciiTheme="majorBidi" w:hAnsiTheme="majorBidi" w:cstheme="majorBidi"/>
        </w:rPr>
        <w:t>Secrétariat de la Commission,</w:t>
      </w:r>
    </w:p>
    <w:p w:rsidR="00F53E3E" w:rsidRPr="00870295" w:rsidRDefault="00F53E3E" w:rsidP="00F53E3E">
      <w:pPr>
        <w:spacing w:after="120" w:line="276" w:lineRule="auto"/>
        <w:jc w:val="center"/>
        <w:rPr>
          <w:rFonts w:asciiTheme="majorBidi" w:hAnsiTheme="majorBidi" w:cstheme="majorBidi"/>
        </w:rPr>
      </w:pPr>
      <w:r w:rsidRPr="00870295">
        <w:rPr>
          <w:rFonts w:asciiTheme="majorBidi" w:hAnsiTheme="majorBidi" w:cstheme="majorBidi"/>
        </w:rPr>
        <w:t>KSAR, Ilot C, Lot N°15, Zone Château d’Eau.</w:t>
      </w:r>
    </w:p>
    <w:p w:rsidR="00F53E3E" w:rsidRPr="00295FEC"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Les offres doivent comprendre une garantie de soumission d’un mont</w:t>
      </w:r>
      <w:r>
        <w:rPr>
          <w:rFonts w:asciiTheme="majorBidi" w:hAnsiTheme="majorBidi" w:cstheme="majorBidi"/>
        </w:rPr>
        <w:t xml:space="preserve">ant                 </w:t>
      </w:r>
      <w:r w:rsidRPr="00295FEC">
        <w:rPr>
          <w:rFonts w:asciiTheme="majorBidi" w:hAnsiTheme="majorBidi" w:cstheme="majorBidi"/>
        </w:rPr>
        <w:t xml:space="preserve">de 60 </w:t>
      </w:r>
      <w:r>
        <w:rPr>
          <w:rFonts w:asciiTheme="majorBidi" w:hAnsiTheme="majorBidi" w:cstheme="majorBidi"/>
        </w:rPr>
        <w:t>0</w:t>
      </w:r>
      <w:r w:rsidRPr="00295FEC">
        <w:rPr>
          <w:rFonts w:asciiTheme="majorBidi" w:hAnsiTheme="majorBidi" w:cstheme="majorBidi"/>
        </w:rPr>
        <w:t>00 MRU (soixante mille ouguiya MRU).</w:t>
      </w:r>
    </w:p>
    <w:p w:rsidR="00F53E3E" w:rsidRPr="00870295" w:rsidRDefault="00F53E3E" w:rsidP="00F53E3E">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Les offres devront demeurer valides pendant une durée de 90 jours et les cautions 118 jours à compter de la date limite de dépôt des offres.</w:t>
      </w:r>
    </w:p>
    <w:p w:rsidR="00F53E3E" w:rsidRPr="00897BBB" w:rsidRDefault="00F53E3E" w:rsidP="00F53E3E">
      <w:pPr>
        <w:spacing w:before="100" w:beforeAutospacing="1" w:after="120"/>
        <w:jc w:val="right"/>
        <w:rPr>
          <w:b/>
          <w:bCs/>
        </w:rPr>
      </w:pPr>
      <w:r w:rsidRPr="00897BBB">
        <w:rPr>
          <w:b/>
          <w:bCs/>
        </w:rPr>
        <w:t>Le Secrétaire Général</w:t>
      </w:r>
    </w:p>
    <w:p w:rsidR="00CA03B0" w:rsidRDefault="00F53E3E" w:rsidP="00F53E3E">
      <w:r w:rsidRPr="00897BBB">
        <w:rPr>
          <w:b/>
          <w:bCs/>
        </w:rPr>
        <w:t>S</w:t>
      </w:r>
      <w:r>
        <w:rPr>
          <w:b/>
          <w:bCs/>
        </w:rPr>
        <w:t>IDI</w:t>
      </w:r>
      <w:r w:rsidRPr="00897BBB">
        <w:rPr>
          <w:b/>
          <w:bCs/>
        </w:rPr>
        <w:t xml:space="preserve"> MOULAYE ZEINE</w:t>
      </w:r>
    </w:p>
    <w:sectPr w:rsidR="00CA0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72063"/>
    <w:multiLevelType w:val="hybridMultilevel"/>
    <w:tmpl w:val="7FB25A0A"/>
    <w:lvl w:ilvl="0" w:tplc="E15870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9F650A"/>
    <w:multiLevelType w:val="hybridMultilevel"/>
    <w:tmpl w:val="A26ED5C2"/>
    <w:lvl w:ilvl="0" w:tplc="05D89D50">
      <w:start w:val="1"/>
      <w:numFmt w:val="decimal"/>
      <w:lvlText w:val="%1."/>
      <w:lvlJc w:val="left"/>
      <w:pPr>
        <w:ind w:left="9432" w:hanging="360"/>
      </w:pPr>
      <w:rPr>
        <w:rFonts w:hint="default"/>
      </w:rPr>
    </w:lvl>
    <w:lvl w:ilvl="1" w:tplc="040C0019" w:tentative="1">
      <w:start w:val="1"/>
      <w:numFmt w:val="lowerLetter"/>
      <w:lvlText w:val="%2."/>
      <w:lvlJc w:val="left"/>
      <w:pPr>
        <w:ind w:left="10152" w:hanging="360"/>
      </w:pPr>
    </w:lvl>
    <w:lvl w:ilvl="2" w:tplc="040C001B" w:tentative="1">
      <w:start w:val="1"/>
      <w:numFmt w:val="lowerRoman"/>
      <w:lvlText w:val="%3."/>
      <w:lvlJc w:val="right"/>
      <w:pPr>
        <w:ind w:left="10872" w:hanging="180"/>
      </w:pPr>
    </w:lvl>
    <w:lvl w:ilvl="3" w:tplc="040C000F" w:tentative="1">
      <w:start w:val="1"/>
      <w:numFmt w:val="decimal"/>
      <w:lvlText w:val="%4."/>
      <w:lvlJc w:val="left"/>
      <w:pPr>
        <w:ind w:left="11592" w:hanging="360"/>
      </w:pPr>
    </w:lvl>
    <w:lvl w:ilvl="4" w:tplc="040C0019" w:tentative="1">
      <w:start w:val="1"/>
      <w:numFmt w:val="lowerLetter"/>
      <w:lvlText w:val="%5."/>
      <w:lvlJc w:val="left"/>
      <w:pPr>
        <w:ind w:left="12312" w:hanging="360"/>
      </w:pPr>
    </w:lvl>
    <w:lvl w:ilvl="5" w:tplc="040C001B" w:tentative="1">
      <w:start w:val="1"/>
      <w:numFmt w:val="lowerRoman"/>
      <w:lvlText w:val="%6."/>
      <w:lvlJc w:val="right"/>
      <w:pPr>
        <w:ind w:left="13032" w:hanging="180"/>
      </w:pPr>
    </w:lvl>
    <w:lvl w:ilvl="6" w:tplc="040C000F" w:tentative="1">
      <w:start w:val="1"/>
      <w:numFmt w:val="decimal"/>
      <w:lvlText w:val="%7."/>
      <w:lvlJc w:val="left"/>
      <w:pPr>
        <w:ind w:left="13752" w:hanging="360"/>
      </w:pPr>
    </w:lvl>
    <w:lvl w:ilvl="7" w:tplc="040C0019" w:tentative="1">
      <w:start w:val="1"/>
      <w:numFmt w:val="lowerLetter"/>
      <w:lvlText w:val="%8."/>
      <w:lvlJc w:val="left"/>
      <w:pPr>
        <w:ind w:left="14472" w:hanging="360"/>
      </w:pPr>
    </w:lvl>
    <w:lvl w:ilvl="8" w:tplc="040C001B" w:tentative="1">
      <w:start w:val="1"/>
      <w:numFmt w:val="lowerRoman"/>
      <w:lvlText w:val="%9."/>
      <w:lvlJc w:val="right"/>
      <w:pPr>
        <w:ind w:left="15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B3"/>
    <w:rsid w:val="004E51B3"/>
    <w:rsid w:val="00CA03B0"/>
    <w:rsid w:val="00F53E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4E79-09B7-4DF2-8E16-822B0BA3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E3E"/>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Italics,References,Bullets,ReferencesCxSpLast,Numbered List Paragraph,Medium Grid 1 - Accent 21,Liste 1,List Paragraph nowy,Colorful List - Accent 11,List Paragraph1,MCHIP_list paragraph,lp1,texte,Bullet Level 1,AB List 1,본문(내"/>
    <w:basedOn w:val="Normal"/>
    <w:link w:val="ParagraphedelisteCar"/>
    <w:uiPriority w:val="34"/>
    <w:qFormat/>
    <w:rsid w:val="00F53E3E"/>
  </w:style>
  <w:style w:type="character" w:styleId="Lienhypertexte">
    <w:name w:val="Hyperlink"/>
    <w:basedOn w:val="Policepardfaut"/>
    <w:unhideWhenUsed/>
    <w:rsid w:val="00F53E3E"/>
    <w:rPr>
      <w:color w:val="0000FF"/>
      <w:u w:val="single"/>
    </w:rPr>
  </w:style>
  <w:style w:type="character" w:customStyle="1" w:styleId="ParagraphedelisteCar">
    <w:name w:val="Paragraphe de liste Car"/>
    <w:aliases w:val="Normal Italics Car,References Car,Bullets Car,ReferencesCxSpLast Car,Numbered List Paragraph Car,Medium Grid 1 - Accent 21 Car,Liste 1 Car,List Paragraph nowy Car,Colorful List - Accent 11 Car,List Paragraph1 Car,lp1 Car,본문(내 Car"/>
    <w:link w:val="Paragraphedeliste"/>
    <w:uiPriority w:val="34"/>
    <w:qFormat/>
    <w:rsid w:val="00F53E3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tnima@mtnima.gov.m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3212</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2022-08-18T12:18:00Z</dcterms:created>
  <dcterms:modified xsi:type="dcterms:W3CDTF">2022-08-18T12:18:00Z</dcterms:modified>
</cp:coreProperties>
</file>