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3CE" w14:textId="77777777" w:rsidR="002A192A" w:rsidRPr="00983124" w:rsidRDefault="002A192A" w:rsidP="002A192A">
      <w:pPr>
        <w:kinsoku w:val="0"/>
        <w:spacing w:before="58"/>
        <w:jc w:val="center"/>
        <w:rPr>
          <w:rFonts w:cs="Times New Roman"/>
          <w:sz w:val="36"/>
          <w:szCs w:val="36"/>
        </w:rPr>
      </w:pPr>
      <w:r w:rsidRPr="00983124">
        <w:rPr>
          <w:rFonts w:cs="Times New Roman"/>
          <w:b/>
          <w:bCs/>
          <w:sz w:val="36"/>
          <w:szCs w:val="36"/>
        </w:rPr>
        <w:t>Avis</w:t>
      </w:r>
      <w:r w:rsidRPr="00983124">
        <w:rPr>
          <w:rFonts w:cs="Times New Roman"/>
          <w:b/>
          <w:bCs/>
          <w:spacing w:val="-9"/>
          <w:sz w:val="36"/>
          <w:szCs w:val="36"/>
        </w:rPr>
        <w:t xml:space="preserve"> </w:t>
      </w:r>
      <w:r w:rsidRPr="00983124">
        <w:rPr>
          <w:rFonts w:cs="Times New Roman"/>
          <w:b/>
          <w:bCs/>
          <w:sz w:val="36"/>
          <w:szCs w:val="36"/>
        </w:rPr>
        <w:t>d’</w:t>
      </w:r>
      <w:r w:rsidRPr="00983124">
        <w:rPr>
          <w:rFonts w:cs="Times New Roman"/>
          <w:b/>
          <w:bCs/>
          <w:spacing w:val="1"/>
          <w:sz w:val="36"/>
          <w:szCs w:val="36"/>
        </w:rPr>
        <w:t>A</w:t>
      </w:r>
      <w:r w:rsidRPr="00983124">
        <w:rPr>
          <w:rFonts w:cs="Times New Roman"/>
          <w:b/>
          <w:bCs/>
          <w:sz w:val="36"/>
          <w:szCs w:val="36"/>
        </w:rPr>
        <w:t>ppel</w:t>
      </w:r>
      <w:r w:rsidRPr="00983124">
        <w:rPr>
          <w:rFonts w:cs="Times New Roman"/>
          <w:b/>
          <w:bCs/>
          <w:spacing w:val="-8"/>
          <w:sz w:val="36"/>
          <w:szCs w:val="36"/>
        </w:rPr>
        <w:t xml:space="preserve"> </w:t>
      </w:r>
      <w:r w:rsidRPr="00983124">
        <w:rPr>
          <w:rFonts w:cs="Times New Roman"/>
          <w:b/>
          <w:bCs/>
          <w:sz w:val="36"/>
          <w:szCs w:val="36"/>
        </w:rPr>
        <w:t>d</w:t>
      </w:r>
      <w:r w:rsidRPr="00983124">
        <w:rPr>
          <w:rFonts w:cs="Times New Roman"/>
          <w:b/>
          <w:bCs/>
          <w:spacing w:val="1"/>
          <w:sz w:val="36"/>
          <w:szCs w:val="36"/>
        </w:rPr>
        <w:t>’O</w:t>
      </w:r>
      <w:r w:rsidRPr="00983124">
        <w:rPr>
          <w:rFonts w:cs="Times New Roman"/>
          <w:b/>
          <w:bCs/>
          <w:sz w:val="36"/>
          <w:szCs w:val="36"/>
        </w:rPr>
        <w:t>f</w:t>
      </w:r>
      <w:r w:rsidRPr="00983124">
        <w:rPr>
          <w:rFonts w:cs="Times New Roman"/>
          <w:b/>
          <w:bCs/>
          <w:spacing w:val="-2"/>
          <w:sz w:val="36"/>
          <w:szCs w:val="36"/>
        </w:rPr>
        <w:t>f</w:t>
      </w:r>
      <w:r w:rsidRPr="00983124">
        <w:rPr>
          <w:rFonts w:cs="Times New Roman"/>
          <w:b/>
          <w:bCs/>
          <w:sz w:val="36"/>
          <w:szCs w:val="36"/>
        </w:rPr>
        <w:t>res</w:t>
      </w:r>
      <w:r w:rsidRPr="00983124">
        <w:rPr>
          <w:rFonts w:cs="Times New Roman"/>
          <w:b/>
          <w:bCs/>
          <w:spacing w:val="-7"/>
          <w:sz w:val="36"/>
          <w:szCs w:val="36"/>
        </w:rPr>
        <w:t xml:space="preserve"> </w:t>
      </w:r>
      <w:r w:rsidRPr="00983124">
        <w:rPr>
          <w:rFonts w:cs="Times New Roman"/>
          <w:b/>
          <w:bCs/>
          <w:sz w:val="36"/>
          <w:szCs w:val="36"/>
        </w:rPr>
        <w:t>(</w:t>
      </w:r>
      <w:r w:rsidRPr="00983124">
        <w:rPr>
          <w:rFonts w:cs="Times New Roman"/>
          <w:b/>
          <w:bCs/>
          <w:spacing w:val="1"/>
          <w:sz w:val="36"/>
          <w:szCs w:val="36"/>
        </w:rPr>
        <w:t>A</w:t>
      </w:r>
      <w:r w:rsidRPr="00983124">
        <w:rPr>
          <w:rFonts w:cs="Times New Roman"/>
          <w:b/>
          <w:bCs/>
          <w:sz w:val="36"/>
          <w:szCs w:val="36"/>
        </w:rPr>
        <w:t>A</w:t>
      </w:r>
      <w:r w:rsidRPr="00983124">
        <w:rPr>
          <w:rFonts w:cs="Times New Roman"/>
          <w:b/>
          <w:bCs/>
          <w:spacing w:val="-1"/>
          <w:sz w:val="36"/>
          <w:szCs w:val="36"/>
        </w:rPr>
        <w:t>O</w:t>
      </w:r>
      <w:r w:rsidRPr="00983124">
        <w:rPr>
          <w:rFonts w:cs="Times New Roman"/>
          <w:b/>
          <w:bCs/>
          <w:sz w:val="36"/>
          <w:szCs w:val="36"/>
        </w:rPr>
        <w:t>)</w:t>
      </w:r>
    </w:p>
    <w:p w14:paraId="50A3CCDD" w14:textId="77777777" w:rsidR="002A192A" w:rsidRPr="00983124" w:rsidRDefault="002A192A" w:rsidP="002A192A">
      <w:pPr>
        <w:kinsoku w:val="0"/>
        <w:spacing w:before="1" w:line="240" w:lineRule="exact"/>
        <w:jc w:val="center"/>
        <w:rPr>
          <w:rFonts w:cs="Times New Roman"/>
          <w:szCs w:val="20"/>
          <w:lang w:eastAsia="en-US"/>
        </w:rPr>
      </w:pPr>
      <w:r w:rsidRPr="00983124">
        <w:rPr>
          <w:rFonts w:cs="Times New Roman"/>
          <w:szCs w:val="20"/>
          <w:lang w:eastAsia="en-US"/>
        </w:rPr>
        <w:t>REPUBLIQUE ISLAMIQUE DE MAURITANIE</w:t>
      </w:r>
    </w:p>
    <w:p w14:paraId="36F70AD5" w14:textId="77777777" w:rsidR="002A192A" w:rsidRPr="00983124" w:rsidRDefault="002A192A" w:rsidP="002A192A">
      <w:pPr>
        <w:kinsoku w:val="0"/>
        <w:spacing w:before="1" w:line="240" w:lineRule="exact"/>
        <w:jc w:val="center"/>
        <w:rPr>
          <w:rFonts w:cs="Times New Roman"/>
          <w:szCs w:val="20"/>
          <w:lang w:eastAsia="en-US"/>
        </w:rPr>
      </w:pPr>
      <w:r w:rsidRPr="00983124">
        <w:rPr>
          <w:rFonts w:cs="Times New Roman"/>
          <w:szCs w:val="20"/>
          <w:lang w:eastAsia="en-US"/>
        </w:rPr>
        <w:t>MINISTERE DE L’HYDRAULIQUE ET DE L’ASSAINISSEMENT</w:t>
      </w:r>
    </w:p>
    <w:p w14:paraId="3E677155" w14:textId="77777777" w:rsidR="002A192A" w:rsidRPr="00983124" w:rsidRDefault="002A192A" w:rsidP="002A192A">
      <w:pPr>
        <w:kinsoku w:val="0"/>
        <w:spacing w:before="1" w:line="240" w:lineRule="exact"/>
        <w:jc w:val="center"/>
        <w:rPr>
          <w:rFonts w:cs="Times New Roman"/>
          <w:szCs w:val="20"/>
          <w:lang w:eastAsia="en-US"/>
        </w:rPr>
      </w:pPr>
      <w:r w:rsidRPr="00983124">
        <w:rPr>
          <w:rFonts w:cs="Times New Roman"/>
          <w:szCs w:val="20"/>
          <w:lang w:eastAsia="en-US"/>
        </w:rPr>
        <w:t>DIRECTION DE L’HYDRAULIQUE</w:t>
      </w:r>
    </w:p>
    <w:p w14:paraId="2173AF8F" w14:textId="77777777" w:rsidR="002A192A" w:rsidRPr="00983124" w:rsidRDefault="002A192A" w:rsidP="002A192A">
      <w:pPr>
        <w:kinsoku w:val="0"/>
        <w:spacing w:after="120" w:line="240" w:lineRule="exact"/>
        <w:rPr>
          <w:rFonts w:cs="Times New Roman"/>
        </w:rPr>
      </w:pPr>
    </w:p>
    <w:p w14:paraId="6E22C714" w14:textId="77777777" w:rsidR="002A192A" w:rsidRPr="00983124" w:rsidRDefault="002A192A" w:rsidP="002A192A">
      <w:pPr>
        <w:tabs>
          <w:tab w:val="left" w:pos="4567"/>
        </w:tabs>
        <w:kinsoku w:val="0"/>
        <w:spacing w:after="120"/>
        <w:ind w:right="3"/>
        <w:jc w:val="center"/>
        <w:rPr>
          <w:rFonts w:cs="Times New Roman"/>
          <w:b/>
          <w:bCs/>
        </w:rPr>
      </w:pPr>
      <w:r w:rsidRPr="00983124">
        <w:rPr>
          <w:rFonts w:cs="Times New Roman"/>
          <w:b/>
          <w:bCs/>
        </w:rPr>
        <w:t>A</w:t>
      </w:r>
      <w:r>
        <w:rPr>
          <w:rFonts w:cs="Times New Roman"/>
          <w:b/>
          <w:bCs/>
        </w:rPr>
        <w:t>AO/04</w:t>
      </w:r>
      <w:r w:rsidRPr="00983124">
        <w:rPr>
          <w:rFonts w:cs="Times New Roman"/>
          <w:b/>
          <w:bCs/>
        </w:rPr>
        <w:t xml:space="preserve"> /MHA/DH/202</w:t>
      </w:r>
      <w:r>
        <w:rPr>
          <w:rFonts w:cs="Times New Roman"/>
          <w:b/>
          <w:bCs/>
        </w:rPr>
        <w:t>3</w:t>
      </w:r>
      <w:r w:rsidRPr="00983124">
        <w:rPr>
          <w:rFonts w:cs="Times New Roman"/>
          <w:b/>
          <w:bCs/>
        </w:rPr>
        <w:t xml:space="preserve"> </w:t>
      </w:r>
    </w:p>
    <w:p w14:paraId="473C4B11" w14:textId="77777777" w:rsidR="002A192A" w:rsidRPr="00983124" w:rsidRDefault="002A192A" w:rsidP="002A192A">
      <w:pPr>
        <w:jc w:val="center"/>
        <w:rPr>
          <w:rFonts w:cs="Times New Roman"/>
          <w:b/>
          <w:bCs/>
          <w:i/>
          <w:iCs/>
        </w:rPr>
      </w:pPr>
    </w:p>
    <w:p w14:paraId="6F18AE4E" w14:textId="77777777" w:rsidR="002A192A" w:rsidRPr="00983124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 xml:space="preserve">Le Ministère de l’Hydraulique et de l’Assainissement a obtenu dans le cadre de l’exécution de son budget des fonds, afin de financer le programme de création et </w:t>
      </w:r>
      <w:r>
        <w:rPr>
          <w:rFonts w:cs="Times New Roman"/>
        </w:rPr>
        <w:t>renforcement des AEP</w:t>
      </w:r>
      <w:r w:rsidRPr="00983124">
        <w:rPr>
          <w:rFonts w:cs="Times New Roman"/>
        </w:rPr>
        <w:t>, et a l’intention d’utiliser une partie de ces fonds pour e</w:t>
      </w:r>
      <w:r>
        <w:rPr>
          <w:rFonts w:cs="Times New Roman"/>
        </w:rPr>
        <w:t xml:space="preserve">ffectuer des paiements au titre </w:t>
      </w:r>
      <w:r w:rsidRPr="00983124">
        <w:rPr>
          <w:rFonts w:cs="Times New Roman"/>
        </w:rPr>
        <w:t xml:space="preserve">du Marché réalisation de </w:t>
      </w:r>
      <w:r>
        <w:rPr>
          <w:rFonts w:cs="Times New Roman"/>
        </w:rPr>
        <w:t xml:space="preserve">50 AEP </w:t>
      </w:r>
      <w:r w:rsidRPr="0054057E">
        <w:rPr>
          <w:rFonts w:cs="Times New Roman"/>
        </w:rPr>
        <w:t>en cinq (05) lots distincts</w:t>
      </w:r>
      <w:r w:rsidRPr="00983124">
        <w:rPr>
          <w:rFonts w:cs="Times New Roman"/>
        </w:rPr>
        <w:t xml:space="preserve"> dans un délai ne dépassant pas </w:t>
      </w:r>
      <w:r>
        <w:rPr>
          <w:rFonts w:cs="Times New Roman"/>
        </w:rPr>
        <w:t>huit</w:t>
      </w:r>
      <w:r w:rsidRPr="00983124">
        <w:rPr>
          <w:rFonts w:cs="Times New Roman"/>
        </w:rPr>
        <w:t xml:space="preserve"> (</w:t>
      </w:r>
      <w:r>
        <w:rPr>
          <w:rFonts w:cs="Times New Roman"/>
        </w:rPr>
        <w:t>8</w:t>
      </w:r>
      <w:r w:rsidRPr="00983124">
        <w:rPr>
          <w:rFonts w:cs="Times New Roman"/>
        </w:rPr>
        <w:t>) mois pour chacun des lots.</w:t>
      </w:r>
    </w:p>
    <w:p w14:paraId="20E3CC17" w14:textId="77777777" w:rsidR="002A192A" w:rsidRPr="00AC514E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 xml:space="preserve">Le Ministère de l’Hydraulique et de l’Assainissement sollicite des offres sous pli fermé de la part de candidats éligibles et répondant aux qualifications requises pour exécuter les travaux relatifs à “la Réalisation </w:t>
      </w:r>
      <w:r>
        <w:rPr>
          <w:rFonts w:cs="Times New Roman"/>
        </w:rPr>
        <w:t xml:space="preserve">et la réhabilitation </w:t>
      </w:r>
      <w:r w:rsidRPr="00D51218">
        <w:rPr>
          <w:rFonts w:cs="Times New Roman"/>
        </w:rPr>
        <w:t xml:space="preserve">de </w:t>
      </w:r>
      <w:r>
        <w:rPr>
          <w:rFonts w:cs="Times New Roman"/>
        </w:rPr>
        <w:t xml:space="preserve">50 adductions d’eau potable </w:t>
      </w:r>
      <w:r w:rsidRPr="00983124">
        <w:rPr>
          <w:rFonts w:cs="Times New Roman"/>
        </w:rPr>
        <w:t xml:space="preserve">“.  L’appel d’offres est reparti en </w:t>
      </w:r>
      <w:r>
        <w:rPr>
          <w:rFonts w:cs="Times New Roman"/>
        </w:rPr>
        <w:t>cinq</w:t>
      </w:r>
      <w:r w:rsidRPr="00983124">
        <w:rPr>
          <w:rFonts w:cs="Times New Roman"/>
        </w:rPr>
        <w:t xml:space="preserve"> </w:t>
      </w:r>
      <w:r w:rsidRPr="00AC514E">
        <w:rPr>
          <w:rFonts w:cs="Times New Roman"/>
        </w:rPr>
        <w:t>(05) lots distincts :</w:t>
      </w:r>
    </w:p>
    <w:p w14:paraId="5E195B9B" w14:textId="77777777" w:rsidR="002A192A" w:rsidRPr="00AC514E" w:rsidRDefault="002A192A" w:rsidP="002A192A">
      <w:pPr>
        <w:pStyle w:val="Paragraphedeliste"/>
        <w:numPr>
          <w:ilvl w:val="0"/>
          <w:numId w:val="2"/>
        </w:numPr>
        <w:spacing w:before="60"/>
        <w:ind w:left="1134" w:hanging="425"/>
        <w:contextualSpacing/>
        <w:rPr>
          <w:rFonts w:cs="Times New Roman"/>
        </w:rPr>
      </w:pPr>
      <w:r w:rsidRPr="00AC514E">
        <w:rPr>
          <w:rFonts w:cs="Times New Roman"/>
        </w:rPr>
        <w:t>Lot n° 1 : la Réalisation de 1</w:t>
      </w:r>
      <w:r>
        <w:rPr>
          <w:rFonts w:cs="Times New Roman"/>
        </w:rPr>
        <w:t>1</w:t>
      </w:r>
      <w:r w:rsidRPr="00AC514E">
        <w:rPr>
          <w:rFonts w:cs="Times New Roman"/>
        </w:rPr>
        <w:t xml:space="preserve"> AEP dans les deux </w:t>
      </w:r>
      <w:proofErr w:type="spellStart"/>
      <w:r w:rsidRPr="00AC514E">
        <w:rPr>
          <w:rFonts w:cs="Times New Roman"/>
        </w:rPr>
        <w:t>Hodhs</w:t>
      </w:r>
      <w:proofErr w:type="spellEnd"/>
      <w:r w:rsidRPr="00AC514E">
        <w:rPr>
          <w:rFonts w:cs="Times New Roman"/>
        </w:rPr>
        <w:t xml:space="preserve">  </w:t>
      </w:r>
    </w:p>
    <w:p w14:paraId="0DDC2D91" w14:textId="77777777" w:rsidR="002A192A" w:rsidRPr="00AC514E" w:rsidRDefault="002A192A" w:rsidP="002A192A">
      <w:pPr>
        <w:pStyle w:val="Paragraphedeliste"/>
        <w:numPr>
          <w:ilvl w:val="0"/>
          <w:numId w:val="2"/>
        </w:numPr>
        <w:spacing w:before="60"/>
        <w:ind w:left="1134" w:hanging="425"/>
        <w:contextualSpacing/>
        <w:rPr>
          <w:rFonts w:cs="Times New Roman"/>
        </w:rPr>
      </w:pPr>
      <w:r w:rsidRPr="00AC514E">
        <w:rPr>
          <w:rFonts w:cs="Times New Roman"/>
        </w:rPr>
        <w:t xml:space="preserve">Lot n° 2 : la Réalisation de </w:t>
      </w:r>
      <w:r>
        <w:rPr>
          <w:rFonts w:cs="Times New Roman"/>
        </w:rPr>
        <w:t>10</w:t>
      </w:r>
      <w:r w:rsidRPr="00AC514E">
        <w:rPr>
          <w:rFonts w:cs="Times New Roman"/>
        </w:rPr>
        <w:t xml:space="preserve"> AEP dans les wilayas de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Hodh</w:t>
      </w:r>
      <w:proofErr w:type="spellEnd"/>
      <w:r>
        <w:rPr>
          <w:rFonts w:cs="Times New Roman"/>
        </w:rPr>
        <w:t xml:space="preserve"> El Gharbi, du </w:t>
      </w:r>
      <w:proofErr w:type="spellStart"/>
      <w:r>
        <w:rPr>
          <w:rFonts w:cs="Times New Roman"/>
        </w:rPr>
        <w:t>Tagant</w:t>
      </w:r>
      <w:proofErr w:type="spellEnd"/>
      <w:r>
        <w:rPr>
          <w:rFonts w:cs="Times New Roman"/>
        </w:rPr>
        <w:t>, et de l’</w:t>
      </w:r>
      <w:proofErr w:type="spellStart"/>
      <w:r>
        <w:rPr>
          <w:rFonts w:cs="Times New Roman"/>
        </w:rPr>
        <w:t>Assaba</w:t>
      </w:r>
      <w:proofErr w:type="spellEnd"/>
      <w:r>
        <w:rPr>
          <w:rFonts w:cs="Times New Roman"/>
        </w:rPr>
        <w:t>.</w:t>
      </w:r>
    </w:p>
    <w:p w14:paraId="52CCC880" w14:textId="77777777" w:rsidR="002A192A" w:rsidRPr="00AC514E" w:rsidRDefault="002A192A" w:rsidP="002A192A">
      <w:pPr>
        <w:pStyle w:val="Paragraphedeliste"/>
        <w:numPr>
          <w:ilvl w:val="0"/>
          <w:numId w:val="2"/>
        </w:numPr>
        <w:spacing w:before="60"/>
        <w:ind w:left="1134" w:hanging="425"/>
        <w:contextualSpacing/>
        <w:rPr>
          <w:rFonts w:cs="Times New Roman"/>
        </w:rPr>
      </w:pPr>
      <w:r w:rsidRPr="00AC514E">
        <w:rPr>
          <w:rFonts w:cs="Times New Roman"/>
        </w:rPr>
        <w:t xml:space="preserve">Lot n°3 : la Réalisation de </w:t>
      </w:r>
      <w:r>
        <w:rPr>
          <w:rFonts w:cs="Times New Roman"/>
        </w:rPr>
        <w:t>8</w:t>
      </w:r>
      <w:r w:rsidRPr="00AC514E">
        <w:rPr>
          <w:rFonts w:cs="Times New Roman"/>
        </w:rPr>
        <w:t xml:space="preserve"> AEP dans les wilayas du </w:t>
      </w:r>
      <w:proofErr w:type="spellStart"/>
      <w:proofErr w:type="gramStart"/>
      <w:r w:rsidRPr="00AC514E">
        <w:rPr>
          <w:rFonts w:cs="Times New Roman"/>
        </w:rPr>
        <w:t>Gorgol</w:t>
      </w:r>
      <w:proofErr w:type="spellEnd"/>
      <w:r w:rsidRPr="00AC514E">
        <w:rPr>
          <w:rFonts w:cs="Times New Roman"/>
        </w:rPr>
        <w:t>,  et</w:t>
      </w:r>
      <w:proofErr w:type="gramEnd"/>
      <w:r w:rsidRPr="00AC514E">
        <w:rPr>
          <w:rFonts w:cs="Times New Roman"/>
        </w:rPr>
        <w:t xml:space="preserve"> du </w:t>
      </w:r>
      <w:proofErr w:type="spellStart"/>
      <w:r w:rsidRPr="00AC514E">
        <w:rPr>
          <w:rFonts w:cs="Times New Roman"/>
        </w:rPr>
        <w:t>Guidimagha</w:t>
      </w:r>
      <w:proofErr w:type="spellEnd"/>
    </w:p>
    <w:p w14:paraId="1534B284" w14:textId="77777777" w:rsidR="002A192A" w:rsidRPr="00AC514E" w:rsidRDefault="002A192A" w:rsidP="002A192A">
      <w:pPr>
        <w:pStyle w:val="Paragraphedeliste"/>
        <w:numPr>
          <w:ilvl w:val="0"/>
          <w:numId w:val="2"/>
        </w:numPr>
        <w:spacing w:before="60"/>
        <w:ind w:left="1134" w:hanging="425"/>
        <w:contextualSpacing/>
        <w:rPr>
          <w:rFonts w:cs="Times New Roman"/>
        </w:rPr>
      </w:pPr>
      <w:r w:rsidRPr="00AC514E">
        <w:rPr>
          <w:rFonts w:cs="Times New Roman"/>
        </w:rPr>
        <w:t xml:space="preserve">Lot n°4 : la Réalisation de </w:t>
      </w:r>
      <w:r>
        <w:rPr>
          <w:rFonts w:cs="Times New Roman"/>
        </w:rPr>
        <w:t>12</w:t>
      </w:r>
      <w:r w:rsidRPr="00AC514E">
        <w:rPr>
          <w:rFonts w:cs="Times New Roman"/>
        </w:rPr>
        <w:t xml:space="preserve"> AEP dans les wilayas du </w:t>
      </w:r>
      <w:proofErr w:type="spellStart"/>
      <w:r w:rsidRPr="00AC514E">
        <w:rPr>
          <w:rFonts w:cs="Times New Roman"/>
        </w:rPr>
        <w:t>Brakna</w:t>
      </w:r>
      <w:proofErr w:type="spellEnd"/>
      <w:r w:rsidRPr="00AC514E">
        <w:rPr>
          <w:rFonts w:cs="Times New Roman"/>
        </w:rPr>
        <w:t xml:space="preserve">, et de Trarza </w:t>
      </w:r>
    </w:p>
    <w:p w14:paraId="21B12787" w14:textId="77777777" w:rsidR="002A192A" w:rsidRPr="00AC514E" w:rsidRDefault="002A192A" w:rsidP="002A192A">
      <w:pPr>
        <w:pStyle w:val="Paragraphedeliste"/>
        <w:numPr>
          <w:ilvl w:val="0"/>
          <w:numId w:val="2"/>
        </w:numPr>
        <w:spacing w:before="60"/>
        <w:ind w:left="1134" w:hanging="425"/>
        <w:contextualSpacing/>
        <w:rPr>
          <w:rFonts w:cs="Times New Roman"/>
        </w:rPr>
      </w:pPr>
      <w:r w:rsidRPr="00AC514E">
        <w:rPr>
          <w:rFonts w:cs="Times New Roman"/>
        </w:rPr>
        <w:t xml:space="preserve">Lot n°5 : la Réalisation de </w:t>
      </w:r>
      <w:proofErr w:type="gramStart"/>
      <w:r>
        <w:rPr>
          <w:rFonts w:cs="Times New Roman"/>
        </w:rPr>
        <w:t>9</w:t>
      </w:r>
      <w:r w:rsidRPr="00AC514E">
        <w:rPr>
          <w:rFonts w:cs="Times New Roman"/>
        </w:rPr>
        <w:t xml:space="preserve">  AEP</w:t>
      </w:r>
      <w:proofErr w:type="gramEnd"/>
      <w:r w:rsidRPr="00AC514E">
        <w:rPr>
          <w:rFonts w:cs="Times New Roman"/>
        </w:rPr>
        <w:t xml:space="preserve"> dans les wilayas d’Adrar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Inchiri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Tiris</w:t>
      </w:r>
      <w:proofErr w:type="spellEnd"/>
      <w:r>
        <w:rPr>
          <w:rFonts w:cs="Times New Roman"/>
        </w:rPr>
        <w:t xml:space="preserve"> Zemmour </w:t>
      </w:r>
      <w:r w:rsidRPr="00AC514E">
        <w:rPr>
          <w:rFonts w:cs="Times New Roman"/>
        </w:rPr>
        <w:t xml:space="preserve">et du </w:t>
      </w:r>
      <w:r>
        <w:rPr>
          <w:rFonts w:cs="Times New Roman"/>
        </w:rPr>
        <w:t xml:space="preserve">Nouadhibou </w:t>
      </w:r>
    </w:p>
    <w:p w14:paraId="24463B03" w14:textId="77777777" w:rsidR="002A192A" w:rsidRDefault="002A192A" w:rsidP="002A192A">
      <w:pPr>
        <w:widowControl w:val="0"/>
        <w:tabs>
          <w:tab w:val="left" w:pos="426"/>
          <w:tab w:val="left" w:pos="820"/>
        </w:tabs>
        <w:suppressAutoHyphens w:val="0"/>
        <w:kinsoku w:val="0"/>
        <w:spacing w:before="240" w:after="240"/>
        <w:ind w:right="26"/>
        <w:textAlignment w:val="auto"/>
        <w:rPr>
          <w:rFonts w:cs="Times New Roman"/>
          <w:spacing w:val="-3"/>
        </w:rPr>
      </w:pPr>
      <w:r w:rsidRPr="00AC514E">
        <w:rPr>
          <w:rFonts w:eastAsiaTheme="minorHAnsi" w:cs="Times New Roman"/>
        </w:rPr>
        <w:t>Un soumissionnaire peut proposer pour un seul lot, plusieurs lots ou tous les lots. Cependant</w:t>
      </w:r>
      <w:r w:rsidRPr="00983124">
        <w:rPr>
          <w:rFonts w:eastAsiaTheme="minorHAnsi" w:cs="Times New Roman"/>
        </w:rPr>
        <w:t xml:space="preserve">, il ne peut être attributaire qu’à </w:t>
      </w:r>
      <w:r>
        <w:rPr>
          <w:rFonts w:eastAsiaTheme="minorHAnsi" w:cs="Times New Roman"/>
        </w:rPr>
        <w:t>un seul l</w:t>
      </w:r>
      <w:r w:rsidRPr="00983124">
        <w:rPr>
          <w:rFonts w:eastAsiaTheme="minorHAnsi" w:cs="Times New Roman"/>
        </w:rPr>
        <w:t>ot.</w:t>
      </w:r>
      <w:r w:rsidRPr="00983124">
        <w:rPr>
          <w:rFonts w:cs="Times New Roman"/>
          <w:spacing w:val="-3"/>
        </w:rPr>
        <w:t xml:space="preserve"> </w:t>
      </w:r>
    </w:p>
    <w:p w14:paraId="3552BB2E" w14:textId="77777777" w:rsidR="002A192A" w:rsidRPr="00983124" w:rsidRDefault="002A192A" w:rsidP="002A192A">
      <w:pPr>
        <w:widowControl w:val="0"/>
        <w:tabs>
          <w:tab w:val="left" w:pos="426"/>
          <w:tab w:val="left" w:pos="820"/>
        </w:tabs>
        <w:suppressAutoHyphens w:val="0"/>
        <w:kinsoku w:val="0"/>
        <w:spacing w:before="240" w:after="240"/>
        <w:ind w:right="26"/>
        <w:textAlignment w:val="auto"/>
        <w:rPr>
          <w:rFonts w:cs="Times New Roman"/>
          <w:bCs/>
        </w:rPr>
      </w:pPr>
      <w:r w:rsidRPr="00983124">
        <w:rPr>
          <w:rFonts w:cs="Times New Roman"/>
          <w:bCs/>
        </w:rPr>
        <w:t>Le présent appel d’offres est un Appel d’offres national ouvert </w:t>
      </w:r>
    </w:p>
    <w:p w14:paraId="41E3AC6D" w14:textId="77777777" w:rsidR="002A192A" w:rsidRPr="00983124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bCs/>
        </w:rPr>
      </w:pPr>
      <w:r w:rsidRPr="00983124">
        <w:rPr>
          <w:rFonts w:cs="Times New Roman"/>
        </w:rPr>
        <w:t xml:space="preserve">Le présent appel d'offres </w:t>
      </w:r>
      <w:r w:rsidRPr="00983124">
        <w:rPr>
          <w:rFonts w:cs="Times New Roman"/>
          <w:bCs/>
        </w:rPr>
        <w:t xml:space="preserve">est ouvert </w:t>
      </w:r>
      <w:r w:rsidRPr="00983124">
        <w:rPr>
          <w:rFonts w:cs="Times New Roman"/>
        </w:rPr>
        <w:t xml:space="preserve">à tous les candidats remplissant les conditions définies dans le Dossier d'Appel d'Offres. </w:t>
      </w:r>
    </w:p>
    <w:p w14:paraId="565AADD5" w14:textId="77777777" w:rsidR="002A192A" w:rsidRPr="00801407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 xml:space="preserve">Les candidats intéressés peuvent obtenir des informations auprès la Direction de l’Hydraulique </w:t>
      </w:r>
      <w:r w:rsidRPr="00801407">
        <w:rPr>
          <w:rFonts w:cs="Times New Roman"/>
        </w:rPr>
        <w:t xml:space="preserve">Téléphone : (222) </w:t>
      </w:r>
      <w:r w:rsidRPr="00482AB3">
        <w:rPr>
          <w:rFonts w:cs="Times New Roman"/>
        </w:rPr>
        <w:t>22139207</w:t>
      </w:r>
      <w:r w:rsidRPr="00801407">
        <w:rPr>
          <w:rFonts w:cs="Times New Roman"/>
        </w:rPr>
        <w:t xml:space="preserve"> et prendre connaissance des documents </w:t>
      </w:r>
      <w:proofErr w:type="gramStart"/>
      <w:r w:rsidRPr="00801407">
        <w:rPr>
          <w:rFonts w:cs="Times New Roman"/>
        </w:rPr>
        <w:t>d’Appel  D’offres</w:t>
      </w:r>
      <w:proofErr w:type="gramEnd"/>
      <w:r w:rsidRPr="00801407">
        <w:rPr>
          <w:rFonts w:cs="Times New Roman"/>
        </w:rPr>
        <w:t xml:space="preserve"> du lundi au jeudi de 09H00 à 16H00 et le vendredi de 09H à 12H.</w:t>
      </w:r>
    </w:p>
    <w:p w14:paraId="6FCBB538" w14:textId="77777777" w:rsidR="002A192A" w:rsidRPr="00380F69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Theme="majorBidi" w:hAnsiTheme="majorBidi"/>
          <w:b/>
          <w:bCs/>
        </w:rPr>
      </w:pPr>
      <w:r w:rsidRPr="007F02E7">
        <w:rPr>
          <w:rFonts w:cs="Times New Roman"/>
          <w:b/>
          <w:bCs/>
        </w:rPr>
        <w:t>Les exigences minimales en matière de qualification</w:t>
      </w:r>
      <w:r w:rsidRPr="00380F69">
        <w:rPr>
          <w:rFonts w:cs="Times New Roman"/>
        </w:rPr>
        <w:t xml:space="preserve"> sont</w:t>
      </w:r>
      <w:r>
        <w:rPr>
          <w:rFonts w:cs="Times New Roman"/>
        </w:rPr>
        <w:t xml:space="preserve"> </w:t>
      </w:r>
      <w:r w:rsidRPr="00CF5119">
        <w:rPr>
          <w:rFonts w:asciiTheme="majorBidi" w:hAnsiTheme="majorBidi"/>
          <w:spacing w:val="-3"/>
        </w:rPr>
        <w:t>les suivantes </w:t>
      </w:r>
      <w:r w:rsidRPr="00380F69">
        <w:rPr>
          <w:rFonts w:cs="Times New Roman"/>
        </w:rPr>
        <w:t xml:space="preserve">: </w:t>
      </w:r>
    </w:p>
    <w:p w14:paraId="74F4144F" w14:textId="77777777" w:rsidR="002A192A" w:rsidRPr="00380F69" w:rsidRDefault="002A192A" w:rsidP="002A192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Theme="majorBidi" w:hAnsiTheme="majorBidi"/>
          <w:b/>
          <w:bCs/>
        </w:rPr>
      </w:pPr>
      <w:r w:rsidRPr="00380F69">
        <w:rPr>
          <w:rFonts w:asciiTheme="majorBidi" w:hAnsiTheme="majorBidi"/>
        </w:rPr>
        <w:t xml:space="preserve">Une capacité d’autofinancement pour chacun des lots, d’un montant </w:t>
      </w:r>
      <w:r w:rsidRPr="00801407">
        <w:rPr>
          <w:rFonts w:asciiTheme="majorBidi" w:hAnsiTheme="majorBidi"/>
        </w:rPr>
        <w:t>de 8 000 000 MRU</w:t>
      </w:r>
      <w:r w:rsidRPr="00801407">
        <w:rPr>
          <w:rFonts w:asciiTheme="majorBidi" w:hAnsiTheme="majorBidi"/>
          <w:b/>
          <w:bCs/>
        </w:rPr>
        <w:t xml:space="preserve"> </w:t>
      </w:r>
      <w:r w:rsidRPr="00380F69">
        <w:rPr>
          <w:rFonts w:asciiTheme="majorBidi" w:hAnsiTheme="majorBidi"/>
          <w:b/>
          <w:bCs/>
        </w:rPr>
        <w:t>en liquidité ou facilités de crédit net d’autres engagements contractuels.</w:t>
      </w:r>
    </w:p>
    <w:p w14:paraId="52BC1B5A" w14:textId="77777777" w:rsidR="002A192A" w:rsidRPr="00380F69" w:rsidRDefault="002A192A" w:rsidP="002A192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asciiTheme="majorBidi" w:hAnsiTheme="majorBidi"/>
          <w:b/>
          <w:bCs/>
        </w:rPr>
      </w:pPr>
      <w:r w:rsidRPr="00380F69">
        <w:rPr>
          <w:rFonts w:asciiTheme="majorBidi" w:hAnsiTheme="majorBidi"/>
        </w:rPr>
        <w:t>Avoir réalisé un chiffre d’affaires moyen annuel durant les trois</w:t>
      </w:r>
      <w:r>
        <w:rPr>
          <w:rFonts w:asciiTheme="majorBidi" w:hAnsiTheme="majorBidi"/>
        </w:rPr>
        <w:t xml:space="preserve"> ans successifs</w:t>
      </w:r>
      <w:r w:rsidRPr="00380F69">
        <w:rPr>
          <w:rFonts w:asciiTheme="majorBidi" w:hAnsiTheme="majorBidi"/>
        </w:rPr>
        <w:t xml:space="preserve"> </w:t>
      </w:r>
      <w:r w:rsidRPr="00380F69">
        <w:rPr>
          <w:rFonts w:asciiTheme="majorBidi" w:hAnsiTheme="majorBidi"/>
          <w:b/>
          <w:bCs/>
        </w:rPr>
        <w:t>(20</w:t>
      </w:r>
      <w:r>
        <w:rPr>
          <w:rFonts w:asciiTheme="majorBidi" w:hAnsiTheme="majorBidi"/>
          <w:b/>
          <w:bCs/>
        </w:rPr>
        <w:t>21</w:t>
      </w:r>
      <w:r w:rsidRPr="00380F69">
        <w:rPr>
          <w:rFonts w:asciiTheme="majorBidi" w:hAnsiTheme="majorBidi"/>
          <w:b/>
          <w:bCs/>
        </w:rPr>
        <w:t>, 202</w:t>
      </w:r>
      <w:r>
        <w:rPr>
          <w:rFonts w:asciiTheme="majorBidi" w:hAnsiTheme="majorBidi"/>
          <w:b/>
          <w:bCs/>
        </w:rPr>
        <w:t>0</w:t>
      </w:r>
      <w:r w:rsidRPr="00380F69">
        <w:rPr>
          <w:rFonts w:asciiTheme="majorBidi" w:hAnsiTheme="majorBidi"/>
          <w:b/>
          <w:bCs/>
        </w:rPr>
        <w:t xml:space="preserve"> et 20</w:t>
      </w:r>
      <w:r>
        <w:rPr>
          <w:rFonts w:asciiTheme="majorBidi" w:hAnsiTheme="majorBidi"/>
          <w:b/>
          <w:bCs/>
        </w:rPr>
        <w:t>19</w:t>
      </w:r>
      <w:r w:rsidRPr="00380F69">
        <w:rPr>
          <w:rFonts w:asciiTheme="majorBidi" w:hAnsiTheme="majorBidi"/>
          <w:b/>
          <w:bCs/>
        </w:rPr>
        <w:t>)</w:t>
      </w:r>
      <w:r w:rsidRPr="00380F69">
        <w:rPr>
          <w:rFonts w:asciiTheme="majorBidi" w:hAnsiTheme="majorBidi"/>
        </w:rPr>
        <w:t xml:space="preserve"> d’un montant au moins égal au montant de </w:t>
      </w:r>
      <w:r>
        <w:rPr>
          <w:rFonts w:asciiTheme="majorBidi" w:hAnsiTheme="majorBidi"/>
          <w:b/>
          <w:bCs/>
        </w:rPr>
        <w:t>40</w:t>
      </w:r>
      <w:r w:rsidRPr="00380F69">
        <w:rPr>
          <w:rFonts w:asciiTheme="majorBidi" w:hAnsiTheme="majorBidi"/>
          <w:b/>
          <w:bCs/>
        </w:rPr>
        <w:t> 000 000 MRU</w:t>
      </w:r>
      <w:r w:rsidRPr="00380F69">
        <w:rPr>
          <w:rFonts w:asciiTheme="majorBidi" w:hAnsiTheme="majorBidi"/>
        </w:rPr>
        <w:t xml:space="preserve">. </w:t>
      </w:r>
    </w:p>
    <w:p w14:paraId="157220E4" w14:textId="77777777" w:rsidR="002A192A" w:rsidRPr="00C52011" w:rsidRDefault="002A192A" w:rsidP="002A192A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CF5119">
        <w:t xml:space="preserve">Avoir réalisé au cours des cinq dernières années </w:t>
      </w:r>
      <w:r w:rsidRPr="00380F69">
        <w:rPr>
          <w:bCs/>
        </w:rPr>
        <w:t>(</w:t>
      </w:r>
      <w:r>
        <w:rPr>
          <w:bCs/>
        </w:rPr>
        <w:t>2018 à 2022</w:t>
      </w:r>
      <w:r w:rsidRPr="00380F69">
        <w:rPr>
          <w:bCs/>
        </w:rPr>
        <w:t>),</w:t>
      </w:r>
      <w:r w:rsidRPr="00CF5119">
        <w:t xml:space="preserve"> au moins </w:t>
      </w:r>
      <w:r w:rsidRPr="00380F69">
        <w:rPr>
          <w:bCs/>
        </w:rPr>
        <w:t>deux (02)</w:t>
      </w:r>
      <w:r w:rsidRPr="00CF5119">
        <w:t xml:space="preserve"> marché</w:t>
      </w:r>
      <w:r>
        <w:t>s</w:t>
      </w:r>
      <w:r w:rsidRPr="00CF5119">
        <w:t xml:space="preserve"> similaire</w:t>
      </w:r>
      <w:r>
        <w:t>s</w:t>
      </w:r>
      <w:r w:rsidRPr="00CF5119">
        <w:t>, de même nature et de même complexité</w:t>
      </w:r>
      <w:r>
        <w:t>.</w:t>
      </w:r>
    </w:p>
    <w:p w14:paraId="56649275" w14:textId="77777777" w:rsidR="002A192A" w:rsidRPr="00EA3D74" w:rsidRDefault="002A192A" w:rsidP="002A192A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>
        <w:t xml:space="preserve">Avoir réalisé au minimum </w:t>
      </w:r>
      <w:r w:rsidRPr="00AC514E">
        <w:t xml:space="preserve">Cinq réservoirs </w:t>
      </w:r>
      <w:r>
        <w:t xml:space="preserve">en béton armé d’une capacité minimale de 30m3, </w:t>
      </w:r>
      <w:r w:rsidRPr="00CF5119">
        <w:t xml:space="preserve">au cours des </w:t>
      </w:r>
      <w:r>
        <w:t xml:space="preserve">trois </w:t>
      </w:r>
      <w:r w:rsidRPr="00CF5119">
        <w:t xml:space="preserve">dernières années </w:t>
      </w:r>
      <w:r w:rsidRPr="00380F69">
        <w:rPr>
          <w:bCs/>
        </w:rPr>
        <w:t>(</w:t>
      </w:r>
      <w:r>
        <w:rPr>
          <w:bCs/>
        </w:rPr>
        <w:t>2020 à 2022).</w:t>
      </w:r>
    </w:p>
    <w:p w14:paraId="6B538538" w14:textId="77777777" w:rsidR="002A192A" w:rsidRPr="00C92F2B" w:rsidRDefault="002A192A" w:rsidP="002A192A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>
        <w:lastRenderedPageBreak/>
        <w:t xml:space="preserve">Avoir réalisé au minimum une fourniture et pose de </w:t>
      </w:r>
      <w:r w:rsidRPr="00AC514E">
        <w:t xml:space="preserve">50 km </w:t>
      </w:r>
      <w:r>
        <w:t xml:space="preserve">de conduite en PEHD de diamètre supérieure ou égale à 63 mm </w:t>
      </w:r>
      <w:r w:rsidRPr="00CF5119">
        <w:t xml:space="preserve">au cours des </w:t>
      </w:r>
      <w:r>
        <w:t>trois</w:t>
      </w:r>
      <w:r w:rsidRPr="00CF5119">
        <w:t xml:space="preserve"> dernières années </w:t>
      </w:r>
      <w:r w:rsidRPr="00380F69">
        <w:rPr>
          <w:bCs/>
        </w:rPr>
        <w:t>(</w:t>
      </w:r>
      <w:r>
        <w:rPr>
          <w:bCs/>
        </w:rPr>
        <w:t>2020 à 2022)</w:t>
      </w:r>
      <w:r>
        <w:t>.</w:t>
      </w:r>
    </w:p>
    <w:p w14:paraId="7E2A92B3" w14:textId="77777777" w:rsidR="002A192A" w:rsidRPr="00C92F2B" w:rsidRDefault="002A192A" w:rsidP="002A192A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/>
        <w:textAlignment w:val="auto"/>
      </w:pPr>
      <w:r>
        <w:t>Avoir réalisé une f</w:t>
      </w:r>
      <w:r w:rsidRPr="00C92F2B">
        <w:t xml:space="preserve">ourniture et installation, de cinq (5) équipements </w:t>
      </w:r>
      <w:proofErr w:type="gramStart"/>
      <w:r w:rsidRPr="00C92F2B">
        <w:t>d’exhaure</w:t>
      </w:r>
      <w:r>
        <w:t xml:space="preserve">.   </w:t>
      </w:r>
      <w:proofErr w:type="gramEnd"/>
      <w:r>
        <w:t xml:space="preserve">  .</w:t>
      </w:r>
    </w:p>
    <w:p w14:paraId="424AE9D1" w14:textId="77777777" w:rsidR="002A192A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801407">
        <w:rPr>
          <w:rFonts w:cs="Times New Roman"/>
        </w:rPr>
        <w:t xml:space="preserve">Les candidats intéressés peuvent obtenir un dossier d’Appel d’offres complet </w:t>
      </w:r>
      <w:r>
        <w:rPr>
          <w:rFonts w:cs="Times New Roman"/>
        </w:rPr>
        <w:t>à l’adresse mentionné sou dessous, c</w:t>
      </w:r>
      <w:r w:rsidRPr="00801407">
        <w:rPr>
          <w:rFonts w:cs="Times New Roman"/>
        </w:rPr>
        <w:t>ontre un paiement non remboursable au Trésor Public exclusivement, de deux mille (3000) Ouguiyas (MRU). Le document d’Appel d’offres sera immédiatement remis aux candidats intéressés ou adressé à leur frais en utilisant le mode d’acheminement qu’ils auraient choisis.</w:t>
      </w:r>
    </w:p>
    <w:p w14:paraId="4EF8DC74" w14:textId="77777777" w:rsidR="002A192A" w:rsidRPr="00801407" w:rsidRDefault="002A192A" w:rsidP="002A192A">
      <w:pPr>
        <w:tabs>
          <w:tab w:val="right" w:pos="7254"/>
        </w:tabs>
        <w:spacing w:before="120"/>
        <w:jc w:val="center"/>
        <w:rPr>
          <w:rFonts w:cs="Times New Roman"/>
          <w:sz w:val="22"/>
          <w:szCs w:val="22"/>
        </w:rPr>
      </w:pPr>
      <w:r w:rsidRPr="00801407">
        <w:rPr>
          <w:rFonts w:cs="Times New Roman"/>
          <w:sz w:val="22"/>
          <w:szCs w:val="22"/>
        </w:rPr>
        <w:t>Ministère de l’Hydraulique et de l’Assainissement (MHA)</w:t>
      </w:r>
    </w:p>
    <w:p w14:paraId="3C2E2CB3" w14:textId="77777777" w:rsidR="002A192A" w:rsidRPr="00801407" w:rsidRDefault="002A192A" w:rsidP="002A192A">
      <w:pPr>
        <w:tabs>
          <w:tab w:val="right" w:pos="7254"/>
        </w:tabs>
        <w:spacing w:before="120"/>
        <w:jc w:val="center"/>
        <w:rPr>
          <w:rFonts w:cs="Times New Roman"/>
          <w:sz w:val="22"/>
          <w:szCs w:val="22"/>
        </w:rPr>
      </w:pPr>
      <w:r w:rsidRPr="00801407">
        <w:rPr>
          <w:rFonts w:cs="Times New Roman"/>
          <w:sz w:val="22"/>
          <w:szCs w:val="22"/>
        </w:rPr>
        <w:t xml:space="preserve">Étage : 3 ; </w:t>
      </w:r>
      <w:proofErr w:type="gramStart"/>
      <w:r w:rsidRPr="00801407">
        <w:rPr>
          <w:rFonts w:cs="Times New Roman"/>
          <w:sz w:val="22"/>
          <w:szCs w:val="22"/>
        </w:rPr>
        <w:t>Ville:</w:t>
      </w:r>
      <w:proofErr w:type="gramEnd"/>
      <w:r w:rsidRPr="00801407">
        <w:rPr>
          <w:rFonts w:cs="Times New Roman"/>
          <w:sz w:val="22"/>
          <w:szCs w:val="22"/>
        </w:rPr>
        <w:t xml:space="preserve"> Nouakchott /Mauritanie</w:t>
      </w:r>
    </w:p>
    <w:p w14:paraId="5275B1B5" w14:textId="77777777" w:rsidR="002A192A" w:rsidRPr="00801407" w:rsidRDefault="002A192A" w:rsidP="002A192A">
      <w:pPr>
        <w:tabs>
          <w:tab w:val="right" w:pos="7254"/>
        </w:tabs>
        <w:spacing w:before="120"/>
        <w:jc w:val="center"/>
        <w:rPr>
          <w:rFonts w:cs="Times New Roman"/>
          <w:sz w:val="22"/>
          <w:szCs w:val="22"/>
        </w:rPr>
      </w:pPr>
      <w:r w:rsidRPr="00801407">
        <w:rPr>
          <w:rFonts w:cs="Times New Roman"/>
          <w:sz w:val="22"/>
          <w:szCs w:val="22"/>
        </w:rPr>
        <w:t>Code postal : 4913</w:t>
      </w:r>
    </w:p>
    <w:p w14:paraId="082F4F10" w14:textId="77777777" w:rsidR="002A192A" w:rsidRPr="00801407" w:rsidRDefault="002A192A" w:rsidP="002A192A">
      <w:pPr>
        <w:tabs>
          <w:tab w:val="right" w:pos="7254"/>
        </w:tabs>
        <w:spacing w:before="120"/>
        <w:jc w:val="center"/>
        <w:rPr>
          <w:rFonts w:cs="Times New Roman"/>
          <w:sz w:val="22"/>
          <w:szCs w:val="22"/>
        </w:rPr>
      </w:pPr>
      <w:r w:rsidRPr="00801407">
        <w:rPr>
          <w:rFonts w:cs="Times New Roman"/>
          <w:sz w:val="22"/>
          <w:szCs w:val="22"/>
        </w:rPr>
        <w:t>Numéro de télécopie : +</w:t>
      </w:r>
      <w:r w:rsidRPr="009E4A26">
        <w:rPr>
          <w:rFonts w:cs="Times New Roman"/>
          <w:sz w:val="22"/>
          <w:szCs w:val="22"/>
        </w:rPr>
        <w:t>222 22139207</w:t>
      </w:r>
    </w:p>
    <w:p w14:paraId="19F8D848" w14:textId="77777777" w:rsidR="002A192A" w:rsidRPr="00801407" w:rsidRDefault="002A192A" w:rsidP="002A192A">
      <w:pPr>
        <w:suppressAutoHyphens w:val="0"/>
        <w:overflowPunct/>
        <w:autoSpaceDE/>
        <w:autoSpaceDN/>
        <w:adjustRightInd/>
        <w:spacing w:after="200"/>
        <w:jc w:val="center"/>
        <w:textAlignment w:val="auto"/>
        <w:rPr>
          <w:rFonts w:cs="Times New Roman"/>
        </w:rPr>
      </w:pPr>
      <w:r w:rsidRPr="00801407">
        <w:rPr>
          <w:rFonts w:cs="Times New Roman"/>
          <w:sz w:val="22"/>
          <w:szCs w:val="22"/>
        </w:rPr>
        <w:t>Adresse électronique : 'inghydsalah@gmail.com'</w:t>
      </w:r>
    </w:p>
    <w:p w14:paraId="7A8DEFDC" w14:textId="77777777" w:rsidR="002A192A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>Les offres devront être rédigées en langue française et devront être déposées à l’adresse</w:t>
      </w:r>
      <w:r w:rsidRPr="00C324A6">
        <w:rPr>
          <w:rFonts w:asciiTheme="majorBidi" w:hAnsiTheme="majorBidi"/>
        </w:rPr>
        <w:t xml:space="preserve"> </w:t>
      </w:r>
      <w:r w:rsidRPr="00CF5119">
        <w:rPr>
          <w:rFonts w:asciiTheme="majorBidi" w:hAnsiTheme="majorBidi"/>
        </w:rPr>
        <w:t xml:space="preserve">indiquée à la fin de cet Avis d’Appel </w:t>
      </w:r>
      <w:r w:rsidRPr="00CF5119">
        <w:rPr>
          <w:rFonts w:asciiTheme="majorBidi" w:hAnsiTheme="majorBidi"/>
          <w:spacing w:val="-3"/>
        </w:rPr>
        <w:t>d’Offres</w:t>
      </w:r>
      <w:r>
        <w:rPr>
          <w:rFonts w:cs="Times New Roman"/>
        </w:rPr>
        <w:t>,</w:t>
      </w:r>
      <w:r w:rsidRPr="009D1A5A">
        <w:rPr>
          <w:rFonts w:cs="Times New Roman"/>
        </w:rPr>
        <w:t xml:space="preserve"> </w:t>
      </w:r>
      <w:r w:rsidRPr="00983124">
        <w:rPr>
          <w:rFonts w:cs="Times New Roman"/>
        </w:rPr>
        <w:t xml:space="preserve">au </w:t>
      </w:r>
      <w:r w:rsidRPr="00B05787">
        <w:rPr>
          <w:rFonts w:cs="Times New Roman"/>
        </w:rPr>
        <w:t>plus tard le</w:t>
      </w:r>
      <w:r w:rsidRPr="002F605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jeudi 02 mars 2023 à 12h</w:t>
      </w:r>
      <w:r w:rsidRPr="00983124">
        <w:rPr>
          <w:rFonts w:cs="Times New Roman"/>
        </w:rPr>
        <w:t xml:space="preserve"> </w:t>
      </w:r>
      <w:r w:rsidRPr="00CF5119">
        <w:rPr>
          <w:rFonts w:asciiTheme="majorBidi" w:hAnsiTheme="majorBidi"/>
        </w:rPr>
        <w:t>Toute Soumission reçue après l’expiration du délai limite de remise des offres sera écartée</w:t>
      </w:r>
      <w:r w:rsidRPr="00983124">
        <w:rPr>
          <w:rFonts w:cs="Times New Roman"/>
        </w:rPr>
        <w:t xml:space="preserve">. Les offres seront ouvertes, en présence des représentants des Soumissionnaires qui désirent assister à l’ouverture des plis et, à l’adresse : </w:t>
      </w:r>
      <w:r w:rsidRPr="0051460D">
        <w:rPr>
          <w:rFonts w:cs="Times New Roman"/>
        </w:rPr>
        <w:t>Commission de Passation des Marchés Publics</w:t>
      </w:r>
      <w:r w:rsidRPr="00983124">
        <w:rPr>
          <w:rFonts w:cs="Times New Roman"/>
        </w:rPr>
        <w:t xml:space="preserve"> du Ministère de l’Hydra</w:t>
      </w:r>
      <w:r>
        <w:rPr>
          <w:rFonts w:cs="Times New Roman"/>
        </w:rPr>
        <w:t xml:space="preserve">ulique et de l’Assainissement </w:t>
      </w:r>
      <w:r w:rsidRPr="00983124">
        <w:rPr>
          <w:rFonts w:cs="Times New Roman"/>
        </w:rPr>
        <w:t>à</w:t>
      </w:r>
      <w:r>
        <w:rPr>
          <w:rFonts w:cs="Times New Roman"/>
        </w:rPr>
        <w:t xml:space="preserve"> 30 minutes après la fermeture de dépôt.</w:t>
      </w:r>
    </w:p>
    <w:p w14:paraId="3237C37C" w14:textId="77777777" w:rsidR="002A192A" w:rsidRPr="00037A33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cs="Times New Roman"/>
        </w:rPr>
      </w:pPr>
      <w:r w:rsidRPr="00037A33">
        <w:rPr>
          <w:rFonts w:cs="Times New Roman"/>
        </w:rPr>
        <w:t>Les entreprises qui sont dans la situation ci-dessous décrite ne peuvent pas être attributaires d'un marché :</w:t>
      </w:r>
    </w:p>
    <w:p w14:paraId="20532991" w14:textId="77777777" w:rsidR="002A192A" w:rsidRPr="00037A33" w:rsidRDefault="002A192A" w:rsidP="002A192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cs="Times New Roman"/>
        </w:rPr>
      </w:pPr>
      <w:r w:rsidRPr="00037A33">
        <w:rPr>
          <w:rFonts w:cs="Times New Roman"/>
        </w:rPr>
        <w:t xml:space="preserve"> Les entreprises qui ont des projets résiliés avec le MHA durant les deux dernières années.</w:t>
      </w:r>
    </w:p>
    <w:p w14:paraId="316E5806" w14:textId="77777777" w:rsidR="002A192A" w:rsidRPr="00037A33" w:rsidRDefault="002A192A" w:rsidP="002A192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cs="Times New Roman"/>
        </w:rPr>
      </w:pPr>
      <w:r w:rsidRPr="00037A33">
        <w:rPr>
          <w:rFonts w:cs="Times New Roman"/>
        </w:rPr>
        <w:t>Les entreprises qui ont des projets avec le MHA accusant un retard de plus de 50% des délais contractuels le jour de l'ouverture des offres.</w:t>
      </w:r>
    </w:p>
    <w:p w14:paraId="7133A86E" w14:textId="77777777" w:rsidR="002A192A" w:rsidRPr="00037A33" w:rsidRDefault="002A192A" w:rsidP="002A192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/>
        <w:textAlignment w:val="auto"/>
        <w:rPr>
          <w:rFonts w:cs="Times New Roman"/>
        </w:rPr>
      </w:pPr>
      <w:r w:rsidRPr="00037A33">
        <w:rPr>
          <w:rFonts w:cs="Times New Roman"/>
        </w:rPr>
        <w:t xml:space="preserve"> Les entreprises qui ont des marchés en cours de signature ou d'exécution avec le MHA dépassant le nombre de deux marchés le jour de lancement du présent avis.</w:t>
      </w:r>
    </w:p>
    <w:p w14:paraId="65D18463" w14:textId="77777777" w:rsidR="002A192A" w:rsidRPr="00974AFD" w:rsidRDefault="002A192A" w:rsidP="002A192A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>Les offres doivent comprendre une garantie de soumission d’un montant</w:t>
      </w:r>
      <w:r>
        <w:rPr>
          <w:rFonts w:cs="Times New Roman"/>
        </w:rPr>
        <w:t xml:space="preserve">, </w:t>
      </w:r>
      <w:r>
        <w:t>pour chaque lot</w:t>
      </w:r>
      <w:r w:rsidRPr="00983124">
        <w:rPr>
          <w:rFonts w:cs="Times New Roman"/>
        </w:rPr>
        <w:t xml:space="preserve"> de </w:t>
      </w:r>
      <w:r>
        <w:rPr>
          <w:rFonts w:cs="Times New Roman"/>
        </w:rPr>
        <w:t>50</w:t>
      </w:r>
      <w:r w:rsidRPr="00983124">
        <w:rPr>
          <w:rFonts w:cs="Times New Roman"/>
        </w:rPr>
        <w:t>0 000 (</w:t>
      </w:r>
      <w:r>
        <w:rPr>
          <w:rFonts w:cs="Times New Roman"/>
        </w:rPr>
        <w:t>Cinq cent</w:t>
      </w:r>
      <w:r w:rsidRPr="00983124">
        <w:rPr>
          <w:rFonts w:cs="Times New Roman"/>
        </w:rPr>
        <w:t xml:space="preserve"> mille)</w:t>
      </w:r>
      <w:r>
        <w:rPr>
          <w:rFonts w:cs="Times New Roman"/>
        </w:rPr>
        <w:t xml:space="preserve"> MRU</w:t>
      </w:r>
      <w:r w:rsidRPr="00983124">
        <w:rPr>
          <w:rFonts w:cs="Times New Roman"/>
        </w:rPr>
        <w:t>. Les offres devront demeurer valides pendant une durée de 90 jours, à compter de la date limite de dépôt des offres. La Garantie de Soumission devra demeurer valide pour une période excédant de vingt-</w:t>
      </w:r>
      <w:r w:rsidRPr="00801407">
        <w:rPr>
          <w:rFonts w:cs="Times New Roman"/>
        </w:rPr>
        <w:t xml:space="preserve">huit (30) </w:t>
      </w:r>
      <w:r w:rsidRPr="00983124">
        <w:rPr>
          <w:rFonts w:cs="Times New Roman"/>
        </w:rPr>
        <w:t>jours la durée initiale de validité de l’Offre</w:t>
      </w:r>
      <w:r>
        <w:rPr>
          <w:rFonts w:cs="Times New Roman"/>
        </w:rPr>
        <w:t>.</w:t>
      </w:r>
      <w:r w:rsidRPr="00974AFD">
        <w:rPr>
          <w:rFonts w:cs="Times New Roman"/>
          <w:b/>
          <w:bCs/>
        </w:rPr>
        <w:t xml:space="preserve">                                                        </w:t>
      </w:r>
    </w:p>
    <w:p w14:paraId="31D0B0B1" w14:textId="77777777" w:rsidR="002A192A" w:rsidRDefault="002A192A" w:rsidP="002A192A">
      <w:pPr>
        <w:kinsoku w:val="0"/>
        <w:spacing w:before="69" w:line="360" w:lineRule="auto"/>
        <w:ind w:left="4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</w:t>
      </w:r>
      <w:r>
        <w:rPr>
          <w:rFonts w:cs="Times New Roman"/>
          <w:b/>
          <w:bCs/>
        </w:rPr>
        <w:t xml:space="preserve">  </w:t>
      </w:r>
    </w:p>
    <w:p w14:paraId="2E175144" w14:textId="77777777" w:rsidR="002A192A" w:rsidRPr="00974AFD" w:rsidRDefault="002A192A" w:rsidP="002A192A">
      <w:pPr>
        <w:kinsoku w:val="0"/>
        <w:spacing w:before="69" w:line="360" w:lineRule="auto"/>
        <w:ind w:left="4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 xml:space="preserve">                                                                               </w:t>
      </w:r>
      <w:r>
        <w:rPr>
          <w:rFonts w:cs="Times New Roman"/>
          <w:b/>
          <w:bCs/>
        </w:rPr>
        <w:t xml:space="preserve">     </w:t>
      </w:r>
      <w:r w:rsidRPr="00983124">
        <w:rPr>
          <w:rFonts w:cs="Times New Roman"/>
          <w:b/>
          <w:bCs/>
        </w:rPr>
        <w:t xml:space="preserve">  </w:t>
      </w:r>
      <w:r w:rsidRPr="00974AFD">
        <w:rPr>
          <w:rFonts w:cs="Times New Roman"/>
          <w:b/>
          <w:bCs/>
          <w:sz w:val="28"/>
          <w:szCs w:val="28"/>
        </w:rPr>
        <w:t xml:space="preserve">Le Sécréteur General </w:t>
      </w:r>
    </w:p>
    <w:p w14:paraId="4F9564CF" w14:textId="77777777" w:rsidR="002A192A" w:rsidRPr="00974AFD" w:rsidRDefault="002A192A" w:rsidP="002A192A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974AFD">
        <w:rPr>
          <w:rFonts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cs="Times New Roman"/>
          <w:b/>
          <w:bCs/>
          <w:sz w:val="28"/>
          <w:szCs w:val="28"/>
        </w:rPr>
        <w:t xml:space="preserve">                        </w:t>
      </w:r>
      <w:r w:rsidRPr="00974AFD">
        <w:rPr>
          <w:rFonts w:cs="Times New Roman"/>
          <w:b/>
          <w:bCs/>
          <w:sz w:val="28"/>
          <w:szCs w:val="28"/>
        </w:rPr>
        <w:t xml:space="preserve"> Ahmed </w:t>
      </w:r>
      <w:r w:rsidRPr="00974AFD">
        <w:rPr>
          <w:rFonts w:cs="Times New Roman"/>
          <w:b/>
          <w:bCs/>
          <w:sz w:val="28"/>
          <w:szCs w:val="28"/>
        </w:rPr>
        <w:t xml:space="preserve">SID ’AHMED </w:t>
      </w:r>
      <w:r w:rsidRPr="00974AFD">
        <w:rPr>
          <w:rFonts w:cs="Times New Roman"/>
          <w:b/>
          <w:bCs/>
          <w:sz w:val="28"/>
          <w:szCs w:val="28"/>
        </w:rPr>
        <w:t>D</w:t>
      </w:r>
      <w:r w:rsidRPr="00974AFD">
        <w:rPr>
          <w:rFonts w:cs="Times New Roman"/>
          <w:b/>
          <w:bCs/>
          <w:sz w:val="28"/>
          <w:szCs w:val="28"/>
        </w:rPr>
        <w:t>IE</w:t>
      </w:r>
    </w:p>
    <w:p w14:paraId="31494180" w14:textId="77777777" w:rsidR="0096539A" w:rsidRDefault="0096539A"/>
    <w:sectPr w:rsidR="0096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6D11"/>
    <w:multiLevelType w:val="hybridMultilevel"/>
    <w:tmpl w:val="C6BA7A44"/>
    <w:lvl w:ilvl="0" w:tplc="791C91D2">
      <w:start w:val="6"/>
      <w:numFmt w:val="bullet"/>
      <w:lvlText w:val="-"/>
      <w:lvlJc w:val="left"/>
      <w:pPr>
        <w:ind w:left="720" w:hanging="360"/>
      </w:pPr>
      <w:rPr>
        <w:rFonts w:ascii="Gill Sans MT Condensed" w:eastAsia="Times New Roman" w:hAnsi="Gill Sans MT Condensed" w:cs="Times New Roman" w:hint="default"/>
        <w:b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735FD6"/>
    <w:multiLevelType w:val="hybridMultilevel"/>
    <w:tmpl w:val="A9825A0E"/>
    <w:lvl w:ilvl="0" w:tplc="D282486C"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47621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407930">
    <w:abstractNumId w:val="2"/>
  </w:num>
  <w:num w:numId="3" w16cid:durableId="42592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2A"/>
    <w:rsid w:val="002A192A"/>
    <w:rsid w:val="009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3575"/>
  <w15:chartTrackingRefBased/>
  <w15:docId w15:val="{8060D18D-BB8E-4A39-8562-04AF5BE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2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figure,Liste 1,Paragraphe 2,En tête 1"/>
    <w:basedOn w:val="Normal"/>
    <w:link w:val="ParagraphedelisteCar"/>
    <w:uiPriority w:val="34"/>
    <w:qFormat/>
    <w:rsid w:val="002A192A"/>
    <w:pPr>
      <w:ind w:left="708"/>
    </w:p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basedOn w:val="Policepardfaut"/>
    <w:link w:val="Paragraphedeliste"/>
    <w:uiPriority w:val="34"/>
    <w:qFormat/>
    <w:locked/>
    <w:rsid w:val="002A192A"/>
    <w:rPr>
      <w:rFonts w:ascii="Times New Roman" w:eastAsia="Times New Roman" w:hAnsi="Times New Roman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Mhamed</dc:creator>
  <cp:keywords/>
  <dc:description/>
  <cp:lastModifiedBy>Sima Mhamed</cp:lastModifiedBy>
  <cp:revision>1</cp:revision>
  <dcterms:created xsi:type="dcterms:W3CDTF">2023-02-02T11:42:00Z</dcterms:created>
  <dcterms:modified xsi:type="dcterms:W3CDTF">2023-02-02T11:46:00Z</dcterms:modified>
</cp:coreProperties>
</file>