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515"/>
        <w:tblW w:w="12753" w:type="dxa"/>
        <w:tblLook w:val="04A0" w:firstRow="1" w:lastRow="0" w:firstColumn="1" w:lastColumn="0" w:noHBand="0" w:noVBand="1"/>
      </w:tblPr>
      <w:tblGrid>
        <w:gridCol w:w="1525"/>
        <w:gridCol w:w="1646"/>
        <w:gridCol w:w="1249"/>
        <w:gridCol w:w="1231"/>
        <w:gridCol w:w="1524"/>
        <w:gridCol w:w="1498"/>
        <w:gridCol w:w="1938"/>
        <w:gridCol w:w="2142"/>
      </w:tblGrid>
      <w:tr w:rsidR="001C282E" w:rsidRPr="00CD045F" w:rsidTr="00C47141">
        <w:tc>
          <w:tcPr>
            <w:tcW w:w="3171" w:type="dxa"/>
            <w:gridSpan w:val="2"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  <w:r w:rsidRPr="00CD045F">
              <w:rPr>
                <w:rFonts w:asciiTheme="majorBidi" w:hAnsiTheme="majorBidi" w:cstheme="majorBidi"/>
              </w:rPr>
              <w:t>Objet de la consultation</w:t>
            </w:r>
          </w:p>
        </w:tc>
        <w:tc>
          <w:tcPr>
            <w:tcW w:w="1249" w:type="dxa"/>
            <w:vMerge w:val="restart"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  <w:r w:rsidRPr="00CD045F">
              <w:rPr>
                <w:rFonts w:asciiTheme="majorBidi" w:hAnsiTheme="majorBidi" w:cstheme="majorBidi"/>
              </w:rPr>
              <w:t>Imputation budgétaire</w:t>
            </w:r>
          </w:p>
        </w:tc>
        <w:tc>
          <w:tcPr>
            <w:tcW w:w="1231" w:type="dxa"/>
            <w:vMerge w:val="restart"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  <w:r w:rsidRPr="00CD045F">
              <w:rPr>
                <w:rFonts w:asciiTheme="majorBidi" w:hAnsiTheme="majorBidi" w:cstheme="majorBidi"/>
              </w:rPr>
              <w:t>Type de contr</w:t>
            </w:r>
            <w:r w:rsidRPr="00CD045F">
              <w:rPr>
                <w:rFonts w:asciiTheme="majorBidi" w:hAnsiTheme="majorBidi" w:cstheme="majorBidi"/>
              </w:rPr>
              <w:t>a</w:t>
            </w:r>
            <w:r w:rsidRPr="00CD045F">
              <w:rPr>
                <w:rFonts w:asciiTheme="majorBidi" w:hAnsiTheme="majorBidi" w:cstheme="majorBidi"/>
              </w:rPr>
              <w:t>t</w:t>
            </w:r>
          </w:p>
        </w:tc>
        <w:tc>
          <w:tcPr>
            <w:tcW w:w="1524" w:type="dxa"/>
            <w:vMerge w:val="restart"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  <w:r w:rsidRPr="00CD045F">
              <w:rPr>
                <w:rFonts w:asciiTheme="majorBidi" w:hAnsiTheme="majorBidi" w:cstheme="majorBidi"/>
              </w:rPr>
              <w:t>Mode de sélection</w:t>
            </w:r>
          </w:p>
        </w:tc>
        <w:tc>
          <w:tcPr>
            <w:tcW w:w="1498" w:type="dxa"/>
            <w:vMerge w:val="restart"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  <w:r w:rsidRPr="00CD045F">
              <w:rPr>
                <w:rFonts w:asciiTheme="majorBidi" w:hAnsiTheme="majorBidi" w:cstheme="majorBidi"/>
              </w:rPr>
              <w:t>Co</w:t>
            </w:r>
            <w:r w:rsidRPr="00CD045F">
              <w:rPr>
                <w:rFonts w:asciiTheme="majorBidi" w:hAnsiTheme="majorBidi" w:cstheme="majorBidi"/>
              </w:rPr>
              <w:t>ût</w:t>
            </w:r>
            <w:r w:rsidRPr="00CD045F">
              <w:rPr>
                <w:rFonts w:asciiTheme="majorBidi" w:hAnsiTheme="majorBidi" w:cstheme="majorBidi"/>
              </w:rPr>
              <w:t xml:space="preserve"> estimatif</w:t>
            </w:r>
          </w:p>
        </w:tc>
        <w:tc>
          <w:tcPr>
            <w:tcW w:w="1938" w:type="dxa"/>
            <w:vMerge w:val="restart"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  <w:r w:rsidRPr="00CD045F">
              <w:rPr>
                <w:rFonts w:asciiTheme="majorBidi" w:hAnsiTheme="majorBidi" w:cstheme="majorBidi"/>
              </w:rPr>
              <w:t xml:space="preserve">Date prévisionnelle de </w:t>
            </w:r>
            <w:r w:rsidRPr="00CD045F">
              <w:rPr>
                <w:rFonts w:asciiTheme="majorBidi" w:hAnsiTheme="majorBidi" w:cstheme="majorBidi"/>
              </w:rPr>
              <w:t>Lancement</w:t>
            </w:r>
          </w:p>
        </w:tc>
        <w:tc>
          <w:tcPr>
            <w:tcW w:w="2142" w:type="dxa"/>
            <w:vMerge w:val="restart"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  <w:r w:rsidRPr="00CD045F">
              <w:rPr>
                <w:rFonts w:asciiTheme="majorBidi" w:hAnsiTheme="majorBidi" w:cstheme="majorBidi"/>
              </w:rPr>
              <w:t>Dat</w:t>
            </w:r>
            <w:r>
              <w:rPr>
                <w:rFonts w:asciiTheme="majorBidi" w:hAnsiTheme="majorBidi" w:cstheme="majorBidi"/>
              </w:rPr>
              <w:t xml:space="preserve">e </w:t>
            </w:r>
            <w:r w:rsidRPr="00CD045F">
              <w:rPr>
                <w:rFonts w:asciiTheme="majorBidi" w:hAnsiTheme="majorBidi" w:cstheme="majorBidi"/>
              </w:rPr>
              <w:t>pré</w:t>
            </w:r>
            <w:r w:rsidRPr="00CD045F">
              <w:rPr>
                <w:rFonts w:asciiTheme="majorBidi" w:hAnsiTheme="majorBidi" w:cstheme="majorBidi"/>
              </w:rPr>
              <w:t>vi</w:t>
            </w:r>
            <w:r w:rsidRPr="00CD045F">
              <w:rPr>
                <w:rFonts w:asciiTheme="majorBidi" w:hAnsiTheme="majorBidi" w:cstheme="majorBidi"/>
              </w:rPr>
              <w:t>sionnelle d'attribution</w:t>
            </w:r>
          </w:p>
        </w:tc>
      </w:tr>
      <w:tr w:rsidR="001C282E" w:rsidRPr="00CD045F" w:rsidTr="00C47141">
        <w:tc>
          <w:tcPr>
            <w:tcW w:w="1525" w:type="dxa"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Investissement</w:t>
            </w:r>
          </w:p>
        </w:tc>
        <w:tc>
          <w:tcPr>
            <w:tcW w:w="1646" w:type="dxa"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Fonctionnement</w:t>
            </w:r>
          </w:p>
        </w:tc>
        <w:tc>
          <w:tcPr>
            <w:tcW w:w="1249" w:type="dxa"/>
            <w:vMerge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vMerge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24" w:type="dxa"/>
            <w:vMerge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98" w:type="dxa"/>
            <w:vMerge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8" w:type="dxa"/>
            <w:vMerge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42" w:type="dxa"/>
            <w:vMerge/>
          </w:tcPr>
          <w:p w:rsidR="001C282E" w:rsidRPr="00CD045F" w:rsidRDefault="001C282E" w:rsidP="00CD045F">
            <w:pPr>
              <w:rPr>
                <w:rFonts w:asciiTheme="majorBidi" w:hAnsiTheme="majorBidi" w:cstheme="majorBidi"/>
              </w:rPr>
            </w:pPr>
          </w:p>
        </w:tc>
      </w:tr>
      <w:tr w:rsidR="001C282E" w:rsidRPr="00CD045F" w:rsidTr="00C47141">
        <w:tc>
          <w:tcPr>
            <w:tcW w:w="1525" w:type="dxa"/>
          </w:tcPr>
          <w:p w:rsidR="00CD045F" w:rsidRPr="00CD045F" w:rsidRDefault="004261DD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46" w:type="dxa"/>
          </w:tcPr>
          <w:p w:rsidR="00CD045F" w:rsidRPr="00CD045F" w:rsidRDefault="004261DD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Acquisition de 80 rétroprojecteurs</w:t>
            </w:r>
          </w:p>
        </w:tc>
        <w:tc>
          <w:tcPr>
            <w:tcW w:w="1249" w:type="dxa"/>
          </w:tcPr>
          <w:p w:rsidR="00CD045F" w:rsidRPr="00CD045F" w:rsidRDefault="004261DD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IDA</w:t>
            </w:r>
          </w:p>
        </w:tc>
        <w:tc>
          <w:tcPr>
            <w:tcW w:w="1231" w:type="dxa"/>
          </w:tcPr>
          <w:p w:rsidR="00CD045F" w:rsidRPr="00CD045F" w:rsidRDefault="004261DD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Fournitures</w:t>
            </w:r>
          </w:p>
        </w:tc>
        <w:tc>
          <w:tcPr>
            <w:tcW w:w="1524" w:type="dxa"/>
          </w:tcPr>
          <w:p w:rsidR="00CD045F" w:rsidRPr="00CD045F" w:rsidRDefault="004261DD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Consult de fournisseurs</w:t>
            </w:r>
          </w:p>
        </w:tc>
        <w:tc>
          <w:tcPr>
            <w:tcW w:w="1498" w:type="dxa"/>
          </w:tcPr>
          <w:p w:rsidR="00CD045F" w:rsidRPr="00CD045F" w:rsidRDefault="004261DD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38" w:type="dxa"/>
          </w:tcPr>
          <w:p w:rsidR="00CD045F" w:rsidRPr="00CD045F" w:rsidRDefault="00C47141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23/10/2023</w:t>
            </w:r>
          </w:p>
        </w:tc>
        <w:tc>
          <w:tcPr>
            <w:tcW w:w="2142" w:type="dxa"/>
          </w:tcPr>
          <w:p w:rsidR="00CD045F" w:rsidRPr="00CD045F" w:rsidRDefault="00C47141" w:rsidP="00CD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3/11/2023</w:t>
            </w:r>
          </w:p>
        </w:tc>
      </w:tr>
      <w:tr w:rsidR="00C47141" w:rsidRPr="00CD045F" w:rsidTr="00C47141">
        <w:tc>
          <w:tcPr>
            <w:tcW w:w="1525" w:type="dxa"/>
          </w:tcPr>
          <w:p w:rsidR="00C47141" w:rsidRDefault="00C47141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6" w:type="dxa"/>
          </w:tcPr>
          <w:p w:rsidR="00C47141" w:rsidRDefault="00C47141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9" w:type="dxa"/>
          </w:tcPr>
          <w:p w:rsidR="00C47141" w:rsidRDefault="00C47141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</w:tcPr>
          <w:p w:rsidR="00C47141" w:rsidRDefault="00C47141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24" w:type="dxa"/>
          </w:tcPr>
          <w:p w:rsidR="00C47141" w:rsidRDefault="00C47141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98" w:type="dxa"/>
          </w:tcPr>
          <w:p w:rsidR="00C47141" w:rsidRDefault="00C47141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8" w:type="dxa"/>
          </w:tcPr>
          <w:p w:rsidR="00C47141" w:rsidRDefault="00C47141" w:rsidP="00CD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42" w:type="dxa"/>
          </w:tcPr>
          <w:p w:rsidR="00C47141" w:rsidRDefault="00C47141" w:rsidP="00CD045F">
            <w:pPr>
              <w:rPr>
                <w:rFonts w:asciiTheme="majorBidi" w:hAnsiTheme="majorBidi" w:cstheme="majorBidi"/>
              </w:rPr>
            </w:pPr>
          </w:p>
        </w:tc>
      </w:tr>
    </w:tbl>
    <w:p w:rsidR="004D1ECA" w:rsidRDefault="00C47141" w:rsidP="00C4714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7141">
        <w:rPr>
          <w:rFonts w:asciiTheme="majorBidi" w:hAnsiTheme="majorBidi" w:cstheme="majorBidi"/>
          <w:b/>
          <w:bCs/>
          <w:sz w:val="24"/>
          <w:szCs w:val="24"/>
        </w:rPr>
        <w:t>Plan annuel des achats du projet HISWACA/ANSADE/MEDD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C47141">
        <w:rPr>
          <w:rFonts w:asciiTheme="majorBidi" w:hAnsiTheme="majorBidi" w:cstheme="majorBidi"/>
          <w:b/>
          <w:bCs/>
          <w:sz w:val="24"/>
          <w:szCs w:val="24"/>
        </w:rPr>
        <w:t xml:space="preserve"> Année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47141">
        <w:rPr>
          <w:rFonts w:asciiTheme="majorBidi" w:hAnsiTheme="majorBidi" w:cstheme="majorBidi"/>
          <w:b/>
          <w:bCs/>
          <w:sz w:val="24"/>
          <w:szCs w:val="24"/>
        </w:rPr>
        <w:t>2023</w:t>
      </w:r>
    </w:p>
    <w:p w:rsidR="00C47141" w:rsidRPr="00C47141" w:rsidRDefault="00C47141" w:rsidP="00C47141">
      <w:pPr>
        <w:rPr>
          <w:rFonts w:asciiTheme="majorBidi" w:hAnsiTheme="majorBidi" w:cstheme="majorBidi"/>
          <w:sz w:val="24"/>
          <w:szCs w:val="24"/>
        </w:rPr>
      </w:pPr>
    </w:p>
    <w:p w:rsidR="00C47141" w:rsidRPr="00C47141" w:rsidRDefault="00C47141" w:rsidP="00C47141">
      <w:pPr>
        <w:rPr>
          <w:rFonts w:asciiTheme="majorBidi" w:hAnsiTheme="majorBidi" w:cstheme="majorBidi"/>
          <w:sz w:val="24"/>
          <w:szCs w:val="24"/>
        </w:rPr>
      </w:pPr>
    </w:p>
    <w:p w:rsidR="00C47141" w:rsidRPr="00C47141" w:rsidRDefault="00C47141" w:rsidP="00C47141">
      <w:pPr>
        <w:rPr>
          <w:rFonts w:asciiTheme="majorBidi" w:hAnsiTheme="majorBidi" w:cstheme="majorBidi"/>
          <w:sz w:val="24"/>
          <w:szCs w:val="24"/>
        </w:rPr>
      </w:pPr>
    </w:p>
    <w:p w:rsidR="00C47141" w:rsidRPr="00C47141" w:rsidRDefault="00C47141" w:rsidP="00C47141">
      <w:pPr>
        <w:rPr>
          <w:rFonts w:asciiTheme="majorBidi" w:hAnsiTheme="majorBidi" w:cstheme="majorBidi"/>
          <w:sz w:val="24"/>
          <w:szCs w:val="24"/>
        </w:rPr>
      </w:pPr>
    </w:p>
    <w:p w:rsidR="00C47141" w:rsidRPr="00C47141" w:rsidRDefault="00C47141" w:rsidP="00C47141">
      <w:pPr>
        <w:rPr>
          <w:rFonts w:asciiTheme="majorBidi" w:hAnsiTheme="majorBidi" w:cstheme="majorBidi"/>
          <w:sz w:val="24"/>
          <w:szCs w:val="24"/>
        </w:rPr>
      </w:pPr>
    </w:p>
    <w:p w:rsidR="00C47141" w:rsidRPr="00C47141" w:rsidRDefault="00C47141" w:rsidP="00C47141">
      <w:pPr>
        <w:rPr>
          <w:rFonts w:asciiTheme="majorBidi" w:hAnsiTheme="majorBidi" w:cstheme="majorBidi"/>
          <w:sz w:val="24"/>
          <w:szCs w:val="24"/>
        </w:rPr>
      </w:pPr>
    </w:p>
    <w:p w:rsidR="00C47141" w:rsidRDefault="00C47141" w:rsidP="00C4714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47141" w:rsidRDefault="00C47141" w:rsidP="00C4714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47141" w:rsidRDefault="00C47141" w:rsidP="00C47141">
      <w:pPr>
        <w:tabs>
          <w:tab w:val="left" w:pos="4178"/>
        </w:tabs>
      </w:pPr>
      <w:r w:rsidRPr="00C47141">
        <w:rPr>
          <w:rFonts w:asciiTheme="majorBidi" w:hAnsiTheme="majorBidi" w:cstheme="majorBidi"/>
          <w:sz w:val="24"/>
          <w:szCs w:val="24"/>
        </w:rPr>
        <w:t xml:space="preserve"> les postulants éventuels sont priés de se faire enregistrer auprès de </w:t>
      </w:r>
      <w:proofErr w:type="spellStart"/>
      <w:r w:rsidRPr="00C47141">
        <w:rPr>
          <w:rFonts w:asciiTheme="majorBidi" w:hAnsiTheme="majorBidi" w:cstheme="majorBidi"/>
          <w:sz w:val="24"/>
          <w:szCs w:val="24"/>
        </w:rPr>
        <w:t>I'Autorité</w:t>
      </w:r>
      <w:proofErr w:type="spellEnd"/>
      <w:r w:rsidRPr="00C47141">
        <w:rPr>
          <w:rFonts w:asciiTheme="majorBidi" w:hAnsiTheme="majorBidi" w:cstheme="majorBidi"/>
          <w:sz w:val="24"/>
          <w:szCs w:val="24"/>
        </w:rPr>
        <w:t xml:space="preserve"> Contractante en indiquant leurs domaines d'activités, leurs références, leurs adresses et leurs contacts téléphoniques et électroniques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47141">
        <w:rPr>
          <w:rFonts w:asciiTheme="majorBidi" w:hAnsiTheme="majorBidi" w:cstheme="majorBidi"/>
          <w:sz w:val="24"/>
          <w:szCs w:val="24"/>
        </w:rPr>
        <w:t xml:space="preserve"> adresse complète (BP, Tel,</w:t>
      </w:r>
      <w:r>
        <w:t xml:space="preserve"> e-mail)</w:t>
      </w:r>
      <w:r>
        <w:t>.</w:t>
      </w:r>
      <w:bookmarkStart w:id="0" w:name="_GoBack"/>
      <w:bookmarkEnd w:id="0"/>
    </w:p>
    <w:p w:rsidR="00C47141" w:rsidRPr="00C47141" w:rsidRDefault="00C47141" w:rsidP="00C47141">
      <w:pPr>
        <w:tabs>
          <w:tab w:val="left" w:pos="4178"/>
        </w:tabs>
        <w:rPr>
          <w:rFonts w:asciiTheme="majorBidi" w:hAnsiTheme="majorBidi" w:cstheme="majorBidi"/>
          <w:sz w:val="24"/>
          <w:szCs w:val="24"/>
        </w:rPr>
      </w:pPr>
    </w:p>
    <w:sectPr w:rsidR="00C47141" w:rsidRPr="00C47141" w:rsidSect="00CD0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5F"/>
    <w:rsid w:val="001C282E"/>
    <w:rsid w:val="004261DD"/>
    <w:rsid w:val="004D1ECA"/>
    <w:rsid w:val="00630D17"/>
    <w:rsid w:val="00BD0B75"/>
    <w:rsid w:val="00C47141"/>
    <w:rsid w:val="00C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249"/>
  <w15:chartTrackingRefBased/>
  <w15:docId w15:val="{F3667C61-5300-44D7-BB64-97756C8B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2023-10-12T14:33:00Z</dcterms:created>
  <dcterms:modified xsi:type="dcterms:W3CDTF">2023-10-12T15:24:00Z</dcterms:modified>
</cp:coreProperties>
</file>