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1515"/>
        <w:tblW w:w="9918" w:type="dxa"/>
        <w:tblLook w:val="04A0" w:firstRow="1" w:lastRow="0" w:firstColumn="1" w:lastColumn="0" w:noHBand="0" w:noVBand="1"/>
      </w:tblPr>
      <w:tblGrid>
        <w:gridCol w:w="290"/>
        <w:gridCol w:w="1818"/>
        <w:gridCol w:w="1182"/>
        <w:gridCol w:w="1263"/>
        <w:gridCol w:w="1292"/>
        <w:gridCol w:w="845"/>
        <w:gridCol w:w="1550"/>
        <w:gridCol w:w="1678"/>
      </w:tblGrid>
      <w:tr w:rsidR="00EE4A17" w:rsidRPr="00CD045F" w14:paraId="2E37B347" w14:textId="77777777" w:rsidTr="0067197F">
        <w:tc>
          <w:tcPr>
            <w:tcW w:w="2108" w:type="dxa"/>
            <w:gridSpan w:val="2"/>
          </w:tcPr>
          <w:p w14:paraId="06D98B9F" w14:textId="0317063C" w:rsidR="00EE4A17" w:rsidRPr="00CD045F" w:rsidRDefault="00EE4A17" w:rsidP="00AB370D">
            <w:pPr>
              <w:rPr>
                <w:rFonts w:asciiTheme="majorBidi" w:hAnsiTheme="majorBidi" w:cstheme="majorBidi"/>
              </w:rPr>
            </w:pPr>
            <w:r>
              <w:rPr>
                <w:rFonts w:asciiTheme="majorBidi" w:hAnsiTheme="majorBidi" w:cstheme="majorBidi"/>
              </w:rPr>
              <w:t>Objet de la cotation</w:t>
            </w:r>
          </w:p>
        </w:tc>
        <w:tc>
          <w:tcPr>
            <w:tcW w:w="1182" w:type="dxa"/>
            <w:vMerge w:val="restart"/>
          </w:tcPr>
          <w:p w14:paraId="62CE05C9" w14:textId="3BE47B0B" w:rsidR="00EE4A17" w:rsidRDefault="00EE4A17" w:rsidP="003731A1">
            <w:pPr>
              <w:rPr>
                <w:rFonts w:asciiTheme="majorBidi" w:hAnsiTheme="majorBidi" w:cstheme="majorBidi"/>
              </w:rPr>
            </w:pPr>
            <w:r>
              <w:rPr>
                <w:rFonts w:asciiTheme="majorBidi" w:hAnsiTheme="majorBidi" w:cstheme="majorBidi"/>
              </w:rPr>
              <w:t>Imputation budgétaire</w:t>
            </w:r>
          </w:p>
        </w:tc>
        <w:tc>
          <w:tcPr>
            <w:tcW w:w="1263" w:type="dxa"/>
            <w:vMerge w:val="restart"/>
          </w:tcPr>
          <w:p w14:paraId="14C0E49C" w14:textId="60BE62A6" w:rsidR="00EE4A17" w:rsidRDefault="00EE4A17" w:rsidP="006C69B2">
            <w:pPr>
              <w:rPr>
                <w:rFonts w:asciiTheme="majorBidi" w:hAnsiTheme="majorBidi" w:cstheme="majorBidi"/>
              </w:rPr>
            </w:pPr>
            <w:r>
              <w:rPr>
                <w:rFonts w:asciiTheme="majorBidi" w:hAnsiTheme="majorBidi" w:cstheme="majorBidi"/>
              </w:rPr>
              <w:t>Type de contrat</w:t>
            </w:r>
          </w:p>
        </w:tc>
        <w:tc>
          <w:tcPr>
            <w:tcW w:w="1292" w:type="dxa"/>
            <w:vMerge w:val="restart"/>
          </w:tcPr>
          <w:p w14:paraId="470F006D" w14:textId="26C505F7" w:rsidR="00EE4A17" w:rsidRDefault="00EE4A17" w:rsidP="000004F9">
            <w:pPr>
              <w:rPr>
                <w:rFonts w:asciiTheme="majorBidi" w:hAnsiTheme="majorBidi" w:cstheme="majorBidi"/>
              </w:rPr>
            </w:pPr>
            <w:r>
              <w:rPr>
                <w:rFonts w:asciiTheme="majorBidi" w:hAnsiTheme="majorBidi" w:cstheme="majorBidi"/>
              </w:rPr>
              <w:t>Mode de sélection</w:t>
            </w:r>
          </w:p>
        </w:tc>
        <w:tc>
          <w:tcPr>
            <w:tcW w:w="845" w:type="dxa"/>
            <w:vMerge w:val="restart"/>
          </w:tcPr>
          <w:p w14:paraId="25902194" w14:textId="58DA7382" w:rsidR="00EE4A17" w:rsidRDefault="00EE4A17" w:rsidP="004400C5">
            <w:pPr>
              <w:rPr>
                <w:rFonts w:asciiTheme="majorBidi" w:hAnsiTheme="majorBidi" w:cstheme="majorBidi"/>
              </w:rPr>
            </w:pPr>
            <w:r>
              <w:rPr>
                <w:rFonts w:asciiTheme="majorBidi" w:hAnsiTheme="majorBidi" w:cstheme="majorBidi"/>
              </w:rPr>
              <w:t>Coût estimé</w:t>
            </w:r>
          </w:p>
        </w:tc>
        <w:tc>
          <w:tcPr>
            <w:tcW w:w="1550" w:type="dxa"/>
            <w:vMerge w:val="restart"/>
          </w:tcPr>
          <w:p w14:paraId="2564E549" w14:textId="00D4A0DA" w:rsidR="00EE4A17" w:rsidRDefault="00EE4A17" w:rsidP="0088237C">
            <w:pPr>
              <w:rPr>
                <w:rFonts w:asciiTheme="majorBidi" w:hAnsiTheme="majorBidi" w:cstheme="majorBidi"/>
              </w:rPr>
            </w:pPr>
            <w:r>
              <w:rPr>
                <w:rFonts w:asciiTheme="majorBidi" w:hAnsiTheme="majorBidi" w:cstheme="majorBidi"/>
              </w:rPr>
              <w:t>Date prévisionnelle de lancement</w:t>
            </w:r>
          </w:p>
        </w:tc>
        <w:tc>
          <w:tcPr>
            <w:tcW w:w="1678" w:type="dxa"/>
            <w:vMerge w:val="restart"/>
          </w:tcPr>
          <w:p w14:paraId="2ABCF60A" w14:textId="4DA29B17" w:rsidR="00EE4A17" w:rsidRDefault="00EE4A17" w:rsidP="00B21DFA">
            <w:pPr>
              <w:rPr>
                <w:rFonts w:asciiTheme="majorBidi" w:hAnsiTheme="majorBidi" w:cstheme="majorBidi"/>
              </w:rPr>
            </w:pPr>
            <w:r>
              <w:rPr>
                <w:rFonts w:asciiTheme="majorBidi" w:hAnsiTheme="majorBidi" w:cstheme="majorBidi"/>
              </w:rPr>
              <w:t>Date prévisionnelle d’attribution</w:t>
            </w:r>
          </w:p>
        </w:tc>
      </w:tr>
      <w:tr w:rsidR="00EE4A17" w:rsidRPr="00CD045F" w14:paraId="40F71130" w14:textId="77777777" w:rsidTr="0067197F">
        <w:tc>
          <w:tcPr>
            <w:tcW w:w="290" w:type="dxa"/>
          </w:tcPr>
          <w:p w14:paraId="6B280221" w14:textId="77777777" w:rsidR="00EE4A17" w:rsidRDefault="00EE4A17" w:rsidP="00AB370D">
            <w:pPr>
              <w:rPr>
                <w:rFonts w:asciiTheme="majorBidi" w:hAnsiTheme="majorBidi" w:cstheme="majorBidi"/>
              </w:rPr>
            </w:pPr>
          </w:p>
        </w:tc>
        <w:tc>
          <w:tcPr>
            <w:tcW w:w="1818" w:type="dxa"/>
          </w:tcPr>
          <w:p w14:paraId="7E54271F" w14:textId="25A884E3" w:rsidR="00EE4A17" w:rsidRDefault="00EE4A17" w:rsidP="00AB370D">
            <w:pPr>
              <w:rPr>
                <w:rFonts w:asciiTheme="majorBidi" w:hAnsiTheme="majorBidi" w:cstheme="majorBidi"/>
              </w:rPr>
            </w:pPr>
            <w:r>
              <w:rPr>
                <w:rFonts w:asciiTheme="majorBidi" w:hAnsiTheme="majorBidi" w:cstheme="majorBidi"/>
              </w:rPr>
              <w:t>Fonctionnement</w:t>
            </w:r>
          </w:p>
        </w:tc>
        <w:tc>
          <w:tcPr>
            <w:tcW w:w="1182" w:type="dxa"/>
            <w:vMerge/>
          </w:tcPr>
          <w:p w14:paraId="7D6DD99A" w14:textId="70DBD0C1" w:rsidR="00EE4A17" w:rsidRDefault="00EE4A17" w:rsidP="00AB370D">
            <w:pPr>
              <w:rPr>
                <w:rFonts w:asciiTheme="majorBidi" w:hAnsiTheme="majorBidi" w:cstheme="majorBidi"/>
              </w:rPr>
            </w:pPr>
          </w:p>
        </w:tc>
        <w:tc>
          <w:tcPr>
            <w:tcW w:w="1263" w:type="dxa"/>
            <w:vMerge/>
          </w:tcPr>
          <w:p w14:paraId="7A41E732" w14:textId="61AA63AA" w:rsidR="00EE4A17" w:rsidRDefault="00EE4A17" w:rsidP="00AB370D">
            <w:pPr>
              <w:rPr>
                <w:rFonts w:asciiTheme="majorBidi" w:hAnsiTheme="majorBidi" w:cstheme="majorBidi"/>
              </w:rPr>
            </w:pPr>
          </w:p>
        </w:tc>
        <w:tc>
          <w:tcPr>
            <w:tcW w:w="1292" w:type="dxa"/>
            <w:vMerge/>
          </w:tcPr>
          <w:p w14:paraId="4D4F6BEA" w14:textId="63434543" w:rsidR="00EE4A17" w:rsidRDefault="00EE4A17" w:rsidP="00AB370D">
            <w:pPr>
              <w:rPr>
                <w:rFonts w:asciiTheme="majorBidi" w:hAnsiTheme="majorBidi" w:cstheme="majorBidi"/>
              </w:rPr>
            </w:pPr>
          </w:p>
        </w:tc>
        <w:tc>
          <w:tcPr>
            <w:tcW w:w="845" w:type="dxa"/>
            <w:vMerge/>
          </w:tcPr>
          <w:p w14:paraId="7AEBC87F" w14:textId="1853907B" w:rsidR="00EE4A17" w:rsidRDefault="00EE4A17" w:rsidP="00AB370D">
            <w:pPr>
              <w:rPr>
                <w:rFonts w:asciiTheme="majorBidi" w:hAnsiTheme="majorBidi" w:cstheme="majorBidi"/>
              </w:rPr>
            </w:pPr>
          </w:p>
        </w:tc>
        <w:tc>
          <w:tcPr>
            <w:tcW w:w="1550" w:type="dxa"/>
            <w:vMerge/>
          </w:tcPr>
          <w:p w14:paraId="42779DD5" w14:textId="67F6C446" w:rsidR="00EE4A17" w:rsidRDefault="00EE4A17" w:rsidP="00AB370D">
            <w:pPr>
              <w:rPr>
                <w:rFonts w:asciiTheme="majorBidi" w:hAnsiTheme="majorBidi" w:cstheme="majorBidi"/>
              </w:rPr>
            </w:pPr>
          </w:p>
        </w:tc>
        <w:tc>
          <w:tcPr>
            <w:tcW w:w="1678" w:type="dxa"/>
            <w:vMerge/>
          </w:tcPr>
          <w:p w14:paraId="01EECB3A" w14:textId="26DED51E" w:rsidR="00EE4A17" w:rsidRDefault="00EE4A17" w:rsidP="00AB370D">
            <w:pPr>
              <w:rPr>
                <w:rFonts w:asciiTheme="majorBidi" w:hAnsiTheme="majorBidi" w:cstheme="majorBidi"/>
              </w:rPr>
            </w:pPr>
          </w:p>
        </w:tc>
      </w:tr>
      <w:tr w:rsidR="0067197F" w:rsidRPr="00CD045F" w14:paraId="192513FC" w14:textId="77777777" w:rsidTr="0067197F">
        <w:tc>
          <w:tcPr>
            <w:tcW w:w="290" w:type="dxa"/>
          </w:tcPr>
          <w:p w14:paraId="0457D6A2" w14:textId="0D8B88B8" w:rsidR="00302990" w:rsidRDefault="00302990" w:rsidP="00302990">
            <w:pPr>
              <w:rPr>
                <w:rFonts w:asciiTheme="majorBidi" w:hAnsiTheme="majorBidi" w:cstheme="majorBidi"/>
              </w:rPr>
            </w:pPr>
            <w:r>
              <w:rPr>
                <w:rFonts w:asciiTheme="majorBidi" w:hAnsiTheme="majorBidi" w:cstheme="majorBidi"/>
              </w:rPr>
              <w:t>-</w:t>
            </w:r>
          </w:p>
        </w:tc>
        <w:tc>
          <w:tcPr>
            <w:tcW w:w="1818" w:type="dxa"/>
          </w:tcPr>
          <w:p w14:paraId="49001D13" w14:textId="5F6852FF" w:rsidR="00302990" w:rsidRDefault="00302990" w:rsidP="00302990">
            <w:pPr>
              <w:rPr>
                <w:rFonts w:asciiTheme="majorBidi" w:hAnsiTheme="majorBidi" w:cstheme="majorBidi"/>
              </w:rPr>
            </w:pPr>
            <w:r>
              <w:rPr>
                <w:rFonts w:asciiTheme="majorBidi" w:hAnsiTheme="majorBidi" w:cstheme="majorBidi"/>
              </w:rPr>
              <w:t xml:space="preserve">Recrutement d’une société d’assurance pour la </w:t>
            </w:r>
          </w:p>
          <w:p w14:paraId="38D1A61F" w14:textId="22796765" w:rsidR="00302990" w:rsidRDefault="00302990" w:rsidP="00302990">
            <w:pPr>
              <w:rPr>
                <w:rFonts w:asciiTheme="majorBidi" w:hAnsiTheme="majorBidi" w:cstheme="majorBidi"/>
              </w:rPr>
            </w:pPr>
            <w:r>
              <w:rPr>
                <w:rFonts w:asciiTheme="majorBidi" w:hAnsiTheme="majorBidi" w:cstheme="majorBidi"/>
              </w:rPr>
              <w:t xml:space="preserve">Souscription d’une assurance maladie </w:t>
            </w:r>
          </w:p>
        </w:tc>
        <w:tc>
          <w:tcPr>
            <w:tcW w:w="1182" w:type="dxa"/>
          </w:tcPr>
          <w:p w14:paraId="5DDEBF9D" w14:textId="11A40AFF" w:rsidR="00302990" w:rsidRDefault="00302990" w:rsidP="00302990">
            <w:pPr>
              <w:rPr>
                <w:rFonts w:asciiTheme="majorBidi" w:hAnsiTheme="majorBidi" w:cstheme="majorBidi"/>
              </w:rPr>
            </w:pPr>
            <w:r>
              <w:rPr>
                <w:rFonts w:asciiTheme="majorBidi" w:hAnsiTheme="majorBidi" w:cstheme="majorBidi"/>
              </w:rPr>
              <w:t>IDA</w:t>
            </w:r>
          </w:p>
        </w:tc>
        <w:tc>
          <w:tcPr>
            <w:tcW w:w="1263" w:type="dxa"/>
          </w:tcPr>
          <w:p w14:paraId="4569C765" w14:textId="16C9E3D2" w:rsidR="00302990" w:rsidRDefault="00302990" w:rsidP="00302990">
            <w:pPr>
              <w:rPr>
                <w:rFonts w:asciiTheme="majorBidi" w:hAnsiTheme="majorBidi" w:cstheme="majorBidi"/>
              </w:rPr>
            </w:pPr>
            <w:r>
              <w:rPr>
                <w:rFonts w:asciiTheme="majorBidi" w:hAnsiTheme="majorBidi" w:cstheme="majorBidi"/>
              </w:rPr>
              <w:t>Prestations</w:t>
            </w:r>
          </w:p>
        </w:tc>
        <w:tc>
          <w:tcPr>
            <w:tcW w:w="1292" w:type="dxa"/>
          </w:tcPr>
          <w:p w14:paraId="061353F9" w14:textId="7A065D56" w:rsidR="00302990" w:rsidRDefault="00302990" w:rsidP="00302990">
            <w:pPr>
              <w:rPr>
                <w:rFonts w:asciiTheme="majorBidi" w:hAnsiTheme="majorBidi" w:cstheme="majorBidi"/>
              </w:rPr>
            </w:pPr>
            <w:r>
              <w:rPr>
                <w:rFonts w:asciiTheme="majorBidi" w:hAnsiTheme="majorBidi" w:cstheme="majorBidi"/>
              </w:rPr>
              <w:t>Consult de fournisseurs</w:t>
            </w:r>
          </w:p>
        </w:tc>
        <w:tc>
          <w:tcPr>
            <w:tcW w:w="845" w:type="dxa"/>
          </w:tcPr>
          <w:p w14:paraId="2E89289D" w14:textId="6137AE17" w:rsidR="00302990" w:rsidRDefault="00302990" w:rsidP="00302990">
            <w:pPr>
              <w:rPr>
                <w:rFonts w:asciiTheme="majorBidi" w:hAnsiTheme="majorBidi" w:cstheme="majorBidi"/>
              </w:rPr>
            </w:pPr>
            <w:r>
              <w:rPr>
                <w:rFonts w:asciiTheme="majorBidi" w:hAnsiTheme="majorBidi" w:cstheme="majorBidi"/>
              </w:rPr>
              <w:t>-</w:t>
            </w:r>
          </w:p>
        </w:tc>
        <w:tc>
          <w:tcPr>
            <w:tcW w:w="1550" w:type="dxa"/>
          </w:tcPr>
          <w:p w14:paraId="5EE7C881" w14:textId="3B177779" w:rsidR="00302990" w:rsidRDefault="00302990" w:rsidP="00302990">
            <w:pPr>
              <w:rPr>
                <w:rFonts w:asciiTheme="majorBidi" w:hAnsiTheme="majorBidi" w:cstheme="majorBidi"/>
              </w:rPr>
            </w:pPr>
            <w:r>
              <w:rPr>
                <w:rFonts w:asciiTheme="majorBidi" w:hAnsiTheme="majorBidi" w:cstheme="majorBidi"/>
              </w:rPr>
              <w:t>16</w:t>
            </w:r>
            <w:r>
              <w:rPr>
                <w:rFonts w:asciiTheme="majorBidi" w:hAnsiTheme="majorBidi" w:cstheme="majorBidi"/>
              </w:rPr>
              <w:t>/1</w:t>
            </w:r>
            <w:r>
              <w:rPr>
                <w:rFonts w:asciiTheme="majorBidi" w:hAnsiTheme="majorBidi" w:cstheme="majorBidi"/>
              </w:rPr>
              <w:t>1</w:t>
            </w:r>
            <w:r>
              <w:rPr>
                <w:rFonts w:asciiTheme="majorBidi" w:hAnsiTheme="majorBidi" w:cstheme="majorBidi"/>
              </w:rPr>
              <w:t>/2023</w:t>
            </w:r>
          </w:p>
        </w:tc>
        <w:tc>
          <w:tcPr>
            <w:tcW w:w="1678" w:type="dxa"/>
          </w:tcPr>
          <w:p w14:paraId="7D03E2EA" w14:textId="657DC60E" w:rsidR="00302990" w:rsidRDefault="00302990" w:rsidP="00302990">
            <w:pPr>
              <w:rPr>
                <w:rFonts w:asciiTheme="majorBidi" w:hAnsiTheme="majorBidi" w:cstheme="majorBidi"/>
              </w:rPr>
            </w:pPr>
            <w:r>
              <w:rPr>
                <w:rFonts w:asciiTheme="majorBidi" w:hAnsiTheme="majorBidi" w:cstheme="majorBidi"/>
              </w:rPr>
              <w:t>20</w:t>
            </w:r>
            <w:r>
              <w:rPr>
                <w:rFonts w:asciiTheme="majorBidi" w:hAnsiTheme="majorBidi" w:cstheme="majorBidi"/>
              </w:rPr>
              <w:t>/1</w:t>
            </w:r>
            <w:r>
              <w:rPr>
                <w:rFonts w:asciiTheme="majorBidi" w:hAnsiTheme="majorBidi" w:cstheme="majorBidi"/>
              </w:rPr>
              <w:t>2</w:t>
            </w:r>
            <w:r>
              <w:rPr>
                <w:rFonts w:asciiTheme="majorBidi" w:hAnsiTheme="majorBidi" w:cstheme="majorBidi"/>
              </w:rPr>
              <w:t>/2023</w:t>
            </w:r>
          </w:p>
        </w:tc>
      </w:tr>
    </w:tbl>
    <w:p w14:paraId="6B23D7CC" w14:textId="77777777" w:rsidR="00302990" w:rsidRDefault="00302990" w:rsidP="00302990">
      <w:pPr>
        <w:jc w:val="center"/>
        <w:rPr>
          <w:rFonts w:asciiTheme="majorBidi" w:hAnsiTheme="majorBidi" w:cstheme="majorBidi"/>
          <w:b/>
          <w:bCs/>
          <w:sz w:val="24"/>
          <w:szCs w:val="24"/>
        </w:rPr>
      </w:pPr>
      <w:r w:rsidRPr="00C47141">
        <w:rPr>
          <w:rFonts w:asciiTheme="majorBidi" w:hAnsiTheme="majorBidi" w:cstheme="majorBidi"/>
          <w:b/>
          <w:bCs/>
          <w:sz w:val="24"/>
          <w:szCs w:val="24"/>
        </w:rPr>
        <w:t>Plan annuel des achats du projet HISWACA/ANSADE/MEDD</w:t>
      </w:r>
      <w:r>
        <w:rPr>
          <w:rFonts w:asciiTheme="majorBidi" w:hAnsiTheme="majorBidi" w:cstheme="majorBidi"/>
          <w:b/>
          <w:bCs/>
          <w:sz w:val="24"/>
          <w:szCs w:val="24"/>
        </w:rPr>
        <w:t>-</w:t>
      </w:r>
      <w:r w:rsidRPr="00C47141">
        <w:rPr>
          <w:rFonts w:asciiTheme="majorBidi" w:hAnsiTheme="majorBidi" w:cstheme="majorBidi"/>
          <w:b/>
          <w:bCs/>
          <w:sz w:val="24"/>
          <w:szCs w:val="24"/>
        </w:rPr>
        <w:t xml:space="preserve"> Année</w:t>
      </w:r>
      <w:r>
        <w:rPr>
          <w:rFonts w:asciiTheme="majorBidi" w:hAnsiTheme="majorBidi" w:cstheme="majorBidi"/>
          <w:b/>
          <w:bCs/>
          <w:sz w:val="24"/>
          <w:szCs w:val="24"/>
        </w:rPr>
        <w:t xml:space="preserve"> </w:t>
      </w:r>
      <w:r w:rsidRPr="00C47141">
        <w:rPr>
          <w:rFonts w:asciiTheme="majorBidi" w:hAnsiTheme="majorBidi" w:cstheme="majorBidi"/>
          <w:b/>
          <w:bCs/>
          <w:sz w:val="24"/>
          <w:szCs w:val="24"/>
        </w:rPr>
        <w:t>2023</w:t>
      </w:r>
    </w:p>
    <w:p w14:paraId="615B4337" w14:textId="665365CF" w:rsidR="00302990" w:rsidRDefault="0078023B" w:rsidP="00302990">
      <w:pPr>
        <w:jc w:val="center"/>
        <w:rPr>
          <w:rFonts w:asciiTheme="majorBidi" w:hAnsiTheme="majorBidi" w:cstheme="majorBidi"/>
          <w:b/>
          <w:bCs/>
          <w:sz w:val="24"/>
          <w:szCs w:val="24"/>
        </w:rPr>
      </w:pPr>
      <w:r>
        <w:rPr>
          <w:rFonts w:asciiTheme="majorBidi" w:hAnsiTheme="majorBidi" w:cstheme="majorBidi"/>
          <w:b/>
          <w:bCs/>
          <w:sz w:val="24"/>
          <w:szCs w:val="24"/>
        </w:rPr>
        <w:t>(Actualisé</w:t>
      </w:r>
      <w:r w:rsidR="00302990">
        <w:rPr>
          <w:rFonts w:asciiTheme="majorBidi" w:hAnsiTheme="majorBidi" w:cstheme="majorBidi"/>
          <w:b/>
          <w:bCs/>
          <w:sz w:val="24"/>
          <w:szCs w:val="24"/>
        </w:rPr>
        <w:t>)</w:t>
      </w:r>
    </w:p>
    <w:p w14:paraId="052E9197" w14:textId="468FB8C6" w:rsidR="00302990" w:rsidRPr="00C47141" w:rsidRDefault="0067197F" w:rsidP="00302990">
      <w:pPr>
        <w:rPr>
          <w:rFonts w:asciiTheme="majorBidi" w:hAnsiTheme="majorBidi" w:cstheme="majorBidi"/>
          <w:sz w:val="24"/>
          <w:szCs w:val="24"/>
        </w:rPr>
      </w:pPr>
      <w:r>
        <w:rPr>
          <w:rFonts w:asciiTheme="majorBidi" w:hAnsiTheme="majorBidi" w:cstheme="majorBidi"/>
          <w:noProof/>
          <w:sz w:val="24"/>
          <w:szCs w:val="24"/>
          <w14:ligatures w14:val="standardContextual"/>
        </w:rPr>
        <mc:AlternateContent>
          <mc:Choice Requires="aink">
            <w:drawing>
              <wp:anchor distT="0" distB="0" distL="114300" distR="114300" simplePos="0" relativeHeight="251659264" behindDoc="0" locked="0" layoutInCell="1" allowOverlap="1" wp14:anchorId="12B06E2E" wp14:editId="548894DA">
                <wp:simplePos x="0" y="0"/>
                <wp:positionH relativeFrom="column">
                  <wp:posOffset>7122411</wp:posOffset>
                </wp:positionH>
                <wp:positionV relativeFrom="paragraph">
                  <wp:posOffset>2106923</wp:posOffset>
                </wp:positionV>
                <wp:extent cx="360" cy="360"/>
                <wp:effectExtent l="0" t="0" r="0" b="0"/>
                <wp:wrapNone/>
                <wp:docPr id="927678372" name="Encre 2"/>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12B06E2E" wp14:editId="548894DA">
                <wp:simplePos x="0" y="0"/>
                <wp:positionH relativeFrom="column">
                  <wp:posOffset>7122411</wp:posOffset>
                </wp:positionH>
                <wp:positionV relativeFrom="paragraph">
                  <wp:posOffset>2106923</wp:posOffset>
                </wp:positionV>
                <wp:extent cx="360" cy="360"/>
                <wp:effectExtent l="0" t="0" r="0" b="0"/>
                <wp:wrapNone/>
                <wp:docPr id="927678372" name="Encre 2"/>
                <wp:cNvGraphicFramePr/>
                <a:graphic xmlns:a="http://schemas.openxmlformats.org/drawingml/2006/main">
                  <a:graphicData uri="http://schemas.openxmlformats.org/drawingml/2006/picture">
                    <pic:pic xmlns:pic="http://schemas.openxmlformats.org/drawingml/2006/picture">
                      <pic:nvPicPr>
                        <pic:cNvPr id="927678372" name="Encre 2"/>
                        <pic:cNvPicPr/>
                      </pic:nvPicPr>
                      <pic:blipFill>
                        <a:blip r:embed="rId5"/>
                        <a:stretch>
                          <a:fillRect/>
                        </a:stretch>
                      </pic:blipFill>
                      <pic:spPr>
                        <a:xfrm>
                          <a:off x="0" y="0"/>
                          <a:ext cx="18000" cy="108000"/>
                        </a:xfrm>
                        <a:prstGeom prst="rect">
                          <a:avLst/>
                        </a:prstGeom>
                      </pic:spPr>
                    </pic:pic>
                  </a:graphicData>
                </a:graphic>
              </wp:anchor>
            </w:drawing>
          </mc:Fallback>
        </mc:AlternateContent>
      </w:r>
    </w:p>
    <w:p w14:paraId="669403F4" w14:textId="77777777" w:rsidR="00302990" w:rsidRDefault="00302990" w:rsidP="00302990">
      <w:pPr>
        <w:rPr>
          <w:rFonts w:asciiTheme="majorBidi" w:hAnsiTheme="majorBidi" w:cstheme="majorBidi"/>
          <w:sz w:val="24"/>
          <w:szCs w:val="24"/>
        </w:rPr>
      </w:pPr>
    </w:p>
    <w:p w14:paraId="7CDB64CB" w14:textId="77777777" w:rsidR="00302990" w:rsidRPr="00EE4A17" w:rsidRDefault="00302990" w:rsidP="00302990">
      <w:pPr>
        <w:tabs>
          <w:tab w:val="left" w:pos="4178"/>
        </w:tabs>
        <w:rPr>
          <w:sz w:val="24"/>
          <w:szCs w:val="24"/>
        </w:rPr>
      </w:pPr>
      <w:r w:rsidRPr="00EE4A17">
        <w:rPr>
          <w:rFonts w:asciiTheme="majorBidi" w:hAnsiTheme="majorBidi" w:cstheme="majorBidi"/>
          <w:sz w:val="24"/>
          <w:szCs w:val="24"/>
        </w:rPr>
        <w:t xml:space="preserve"> </w:t>
      </w:r>
      <w:proofErr w:type="gramStart"/>
      <w:r w:rsidRPr="00EE4A17">
        <w:rPr>
          <w:rFonts w:asciiTheme="majorBidi" w:hAnsiTheme="majorBidi" w:cstheme="majorBidi"/>
          <w:sz w:val="24"/>
          <w:szCs w:val="24"/>
        </w:rPr>
        <w:t>les</w:t>
      </w:r>
      <w:proofErr w:type="gramEnd"/>
      <w:r w:rsidRPr="00EE4A17">
        <w:rPr>
          <w:rFonts w:asciiTheme="majorBidi" w:hAnsiTheme="majorBidi" w:cstheme="majorBidi"/>
          <w:sz w:val="24"/>
          <w:szCs w:val="24"/>
        </w:rPr>
        <w:t xml:space="preserve"> postulants éventuels sont priés de se faire enregistrer auprès de l’autorité Contractante en indiquant leurs domaines d'activités, leurs références, leurs adresses et leurs contacts téléphoniques et électroniques,  adresse complète (BP, Tel,</w:t>
      </w:r>
      <w:r w:rsidRPr="00EE4A17">
        <w:rPr>
          <w:sz w:val="24"/>
          <w:szCs w:val="24"/>
        </w:rPr>
        <w:t xml:space="preserve"> e-mail).</w:t>
      </w:r>
    </w:p>
    <w:p w14:paraId="2A8C1EE1" w14:textId="64D3CAF4" w:rsidR="004C4C43" w:rsidRPr="00EE4A17" w:rsidRDefault="004C4C43">
      <w:pPr>
        <w:rPr>
          <w:sz w:val="24"/>
          <w:szCs w:val="24"/>
        </w:rPr>
      </w:pPr>
    </w:p>
    <w:sectPr w:rsidR="004C4C43" w:rsidRPr="00EE4A17" w:rsidSect="00302990">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90"/>
    <w:rsid w:val="00302990"/>
    <w:rsid w:val="004C4C43"/>
    <w:rsid w:val="0067197F"/>
    <w:rsid w:val="0078023B"/>
    <w:rsid w:val="00EE4A17"/>
    <w:rsid w:val="00F743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28CC"/>
  <w15:chartTrackingRefBased/>
  <w15:docId w15:val="{CA65CB60-5948-4290-B421-7641BB69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990"/>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0299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09T15:20:03.665"/>
    </inkml:context>
    <inkml:brush xml:id="br0">
      <inkml:brushProperty name="width" value="0.05" units="cm"/>
      <inkml:brushProperty name="height" value="0.3"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102</Words>
  <Characters>567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2023-11-09T14:47:00Z</dcterms:created>
  <dcterms:modified xsi:type="dcterms:W3CDTF">2023-11-09T15:52:00Z</dcterms:modified>
</cp:coreProperties>
</file>